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0D14" w14:textId="77777777" w:rsidR="008D71AD" w:rsidRDefault="008D71AD" w:rsidP="008D71AD">
      <w:pPr>
        <w:pStyle w:val="Default"/>
        <w:jc w:val="right"/>
        <w:rPr>
          <w:i/>
          <w:iCs/>
          <w:sz w:val="22"/>
          <w:szCs w:val="22"/>
        </w:rPr>
      </w:pPr>
    </w:p>
    <w:p w14:paraId="5CD25271" w14:textId="7DF19ED4" w:rsidR="008D71AD" w:rsidRPr="008D71AD" w:rsidRDefault="008D71AD" w:rsidP="008D71AD">
      <w:pPr>
        <w:pStyle w:val="Default"/>
        <w:jc w:val="right"/>
        <w:rPr>
          <w:i/>
          <w:iCs/>
          <w:sz w:val="22"/>
          <w:szCs w:val="22"/>
        </w:rPr>
      </w:pPr>
      <w:r w:rsidRPr="008D71AD">
        <w:rPr>
          <w:i/>
          <w:iCs/>
          <w:sz w:val="22"/>
          <w:szCs w:val="22"/>
        </w:rPr>
        <w:t>Apstiprināt</w:t>
      </w:r>
      <w:r>
        <w:rPr>
          <w:i/>
          <w:iCs/>
          <w:sz w:val="22"/>
          <w:szCs w:val="22"/>
        </w:rPr>
        <w:t>i</w:t>
      </w:r>
      <w:r w:rsidRPr="008D71AD">
        <w:rPr>
          <w:i/>
          <w:iCs/>
          <w:sz w:val="22"/>
          <w:szCs w:val="22"/>
        </w:rPr>
        <w:t xml:space="preserve"> ar Mežkopības izpilddirektora</w:t>
      </w:r>
    </w:p>
    <w:p w14:paraId="33B5C8B3" w14:textId="6B0FF090" w:rsidR="0056273F" w:rsidRPr="00CB1D89" w:rsidRDefault="008D71AD" w:rsidP="008D71AD">
      <w:pPr>
        <w:pStyle w:val="Default"/>
        <w:jc w:val="right"/>
        <w:rPr>
          <w:i/>
          <w:iCs/>
          <w:sz w:val="22"/>
          <w:szCs w:val="22"/>
        </w:rPr>
      </w:pPr>
      <w:r w:rsidRPr="008D71AD">
        <w:rPr>
          <w:i/>
          <w:iCs/>
          <w:sz w:val="22"/>
          <w:szCs w:val="22"/>
        </w:rPr>
        <w:t>0</w:t>
      </w:r>
      <w:r>
        <w:rPr>
          <w:i/>
          <w:iCs/>
          <w:sz w:val="22"/>
          <w:szCs w:val="22"/>
        </w:rPr>
        <w:t>2</w:t>
      </w:r>
      <w:r w:rsidRPr="008D71AD">
        <w:rPr>
          <w:i/>
          <w:iCs/>
          <w:sz w:val="22"/>
          <w:szCs w:val="22"/>
        </w:rPr>
        <w:t>.0</w:t>
      </w:r>
      <w:r>
        <w:rPr>
          <w:i/>
          <w:iCs/>
          <w:sz w:val="22"/>
          <w:szCs w:val="22"/>
        </w:rPr>
        <w:t>2</w:t>
      </w:r>
      <w:r w:rsidRPr="008D71AD">
        <w:rPr>
          <w:i/>
          <w:iCs/>
          <w:sz w:val="22"/>
          <w:szCs w:val="22"/>
        </w:rPr>
        <w:t>.202</w:t>
      </w:r>
      <w:r>
        <w:rPr>
          <w:i/>
          <w:iCs/>
          <w:sz w:val="22"/>
          <w:szCs w:val="22"/>
        </w:rPr>
        <w:t>4</w:t>
      </w:r>
      <w:r w:rsidRPr="008D71AD">
        <w:rPr>
          <w:i/>
          <w:iCs/>
          <w:sz w:val="22"/>
          <w:szCs w:val="22"/>
        </w:rPr>
        <w:t>. rīkojumu Nr. 3.1-5_0084_200_23_35_1</w:t>
      </w:r>
    </w:p>
    <w:p w14:paraId="52DCF80E" w14:textId="77777777" w:rsidR="0056273F" w:rsidRPr="00C608BC" w:rsidRDefault="0056273F" w:rsidP="008977AC">
      <w:pPr>
        <w:pStyle w:val="Default"/>
        <w:jc w:val="both"/>
        <w:rPr>
          <w:sz w:val="22"/>
          <w:szCs w:val="22"/>
        </w:rPr>
      </w:pPr>
    </w:p>
    <w:p w14:paraId="1F8BAEE4" w14:textId="2A8FB6B3" w:rsidR="003E2789" w:rsidRPr="008977AC" w:rsidRDefault="00453141" w:rsidP="00453141">
      <w:pPr>
        <w:pStyle w:val="Default"/>
        <w:spacing w:after="19"/>
        <w:jc w:val="center"/>
        <w:rPr>
          <w:b/>
          <w:bCs/>
          <w:sz w:val="22"/>
          <w:szCs w:val="22"/>
        </w:rPr>
      </w:pPr>
      <w:r w:rsidRPr="00453141">
        <w:rPr>
          <w:b/>
          <w:bCs/>
          <w:sz w:val="22"/>
          <w:szCs w:val="22"/>
        </w:rPr>
        <w:t>TEHNIKAS PĀRVIETOŠANAS SAMAKSAS NOTEIKUMI</w:t>
      </w:r>
    </w:p>
    <w:p w14:paraId="2AD7F099" w14:textId="77777777" w:rsidR="003E2789" w:rsidRDefault="003E2789" w:rsidP="00C608BC">
      <w:pPr>
        <w:pStyle w:val="Default"/>
        <w:spacing w:after="19"/>
        <w:ind w:firstLine="720"/>
        <w:jc w:val="both"/>
        <w:rPr>
          <w:sz w:val="22"/>
          <w:szCs w:val="22"/>
        </w:rPr>
      </w:pPr>
    </w:p>
    <w:p w14:paraId="69D49BD9" w14:textId="41E8C4EE" w:rsidR="00F262F1" w:rsidRDefault="009971A5" w:rsidP="009971A5">
      <w:pPr>
        <w:pStyle w:val="Default"/>
        <w:spacing w:after="19"/>
        <w:ind w:left="426"/>
        <w:jc w:val="both"/>
        <w:rPr>
          <w:sz w:val="22"/>
          <w:szCs w:val="22"/>
        </w:rPr>
      </w:pPr>
      <w:bookmarkStart w:id="0" w:name="_Hlk147845521"/>
      <w:r>
        <w:rPr>
          <w:sz w:val="22"/>
          <w:szCs w:val="22"/>
        </w:rPr>
        <w:t>Noteikumos lietotie t</w:t>
      </w:r>
      <w:r w:rsidR="003F6AD7">
        <w:rPr>
          <w:sz w:val="22"/>
          <w:szCs w:val="22"/>
        </w:rPr>
        <w:t>ermin</w:t>
      </w:r>
      <w:r>
        <w:rPr>
          <w:sz w:val="22"/>
          <w:szCs w:val="22"/>
        </w:rPr>
        <w:t>i</w:t>
      </w:r>
      <w:r w:rsidR="003F6AD7">
        <w:rPr>
          <w:sz w:val="22"/>
          <w:szCs w:val="22"/>
        </w:rPr>
        <w:t>:</w:t>
      </w:r>
    </w:p>
    <w:p w14:paraId="394F5B36" w14:textId="56254DB4" w:rsidR="00133C76" w:rsidRPr="008977AC" w:rsidRDefault="00133C76" w:rsidP="003F6AD7">
      <w:pPr>
        <w:pStyle w:val="Default"/>
        <w:spacing w:after="19"/>
        <w:ind w:left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Darbs – </w:t>
      </w:r>
      <w:r w:rsidR="002E44AD">
        <w:rPr>
          <w:sz w:val="22"/>
          <w:szCs w:val="22"/>
        </w:rPr>
        <w:t>L</w:t>
      </w:r>
      <w:r w:rsidRPr="008977AC">
        <w:rPr>
          <w:sz w:val="22"/>
          <w:szCs w:val="22"/>
        </w:rPr>
        <w:t xml:space="preserve">īgumā noteikti pakalpojumi, kurus Uzņēmējs par atlīdzību </w:t>
      </w:r>
      <w:r w:rsidR="002E44AD">
        <w:rPr>
          <w:sz w:val="22"/>
          <w:szCs w:val="22"/>
        </w:rPr>
        <w:t xml:space="preserve">sniedz </w:t>
      </w:r>
      <w:r w:rsidRPr="008977AC">
        <w:rPr>
          <w:sz w:val="22"/>
          <w:szCs w:val="22"/>
        </w:rPr>
        <w:t>Pasūtītājam.</w:t>
      </w:r>
    </w:p>
    <w:p w14:paraId="2245B41D" w14:textId="07C19BDB" w:rsidR="00C67945" w:rsidRDefault="00C67945" w:rsidP="003F6AD7">
      <w:pPr>
        <w:pStyle w:val="Default"/>
        <w:spacing w:after="19"/>
        <w:ind w:left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Darba uzdevums – </w:t>
      </w:r>
      <w:r w:rsidR="002E44AD">
        <w:rPr>
          <w:sz w:val="22"/>
          <w:szCs w:val="22"/>
        </w:rPr>
        <w:t>L</w:t>
      </w:r>
      <w:r w:rsidRPr="008977AC">
        <w:rPr>
          <w:sz w:val="22"/>
          <w:szCs w:val="22"/>
        </w:rPr>
        <w:t>īguma noteiktajā kārtīb</w:t>
      </w:r>
      <w:r w:rsidR="002E44AD">
        <w:rPr>
          <w:sz w:val="22"/>
          <w:szCs w:val="22"/>
        </w:rPr>
        <w:t>ā</w:t>
      </w:r>
      <w:r w:rsidRPr="008977AC">
        <w:rPr>
          <w:sz w:val="22"/>
          <w:szCs w:val="22"/>
        </w:rPr>
        <w:t xml:space="preserve"> Pasūtītāja izsniegts darba uzdevums Uzņēmējam.</w:t>
      </w:r>
    </w:p>
    <w:p w14:paraId="10FE9487" w14:textId="385CA3E1" w:rsidR="00C67945" w:rsidRDefault="00C67945" w:rsidP="003F6AD7">
      <w:pPr>
        <w:pStyle w:val="Default"/>
        <w:spacing w:after="19"/>
        <w:ind w:left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Koeficients </w:t>
      </w:r>
      <w:r w:rsidR="00133C7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Pr="00C608BC">
        <w:rPr>
          <w:sz w:val="22"/>
          <w:szCs w:val="22"/>
        </w:rPr>
        <w:t>koeficient</w:t>
      </w:r>
      <w:r w:rsidR="007C6F81">
        <w:rPr>
          <w:sz w:val="22"/>
          <w:szCs w:val="22"/>
        </w:rPr>
        <w:t>s</w:t>
      </w:r>
      <w:r w:rsidR="001F4AC2">
        <w:rPr>
          <w:sz w:val="22"/>
          <w:szCs w:val="22"/>
        </w:rPr>
        <w:t xml:space="preserve">, kas norādīts attiecīgajam </w:t>
      </w:r>
      <w:r w:rsidR="001F4AC2" w:rsidRPr="008977AC">
        <w:rPr>
          <w:sz w:val="22"/>
          <w:szCs w:val="22"/>
        </w:rPr>
        <w:t xml:space="preserve">Tehnikas </w:t>
      </w:r>
      <w:r w:rsidR="00AA3050">
        <w:rPr>
          <w:sz w:val="22"/>
          <w:szCs w:val="22"/>
        </w:rPr>
        <w:t>pārvietošanas</w:t>
      </w:r>
      <w:r w:rsidR="001F4AC2" w:rsidRPr="008977AC">
        <w:rPr>
          <w:sz w:val="22"/>
          <w:szCs w:val="22"/>
        </w:rPr>
        <w:t xml:space="preserve"> attāluma intervāl</w:t>
      </w:r>
      <w:r w:rsidR="001F4AC2">
        <w:rPr>
          <w:sz w:val="22"/>
          <w:szCs w:val="22"/>
        </w:rPr>
        <w:t>am</w:t>
      </w:r>
      <w:r w:rsidR="002E44AD">
        <w:rPr>
          <w:sz w:val="22"/>
          <w:szCs w:val="22"/>
        </w:rPr>
        <w:t>,</w:t>
      </w:r>
      <w:r w:rsidR="001F4AC2">
        <w:rPr>
          <w:sz w:val="22"/>
          <w:szCs w:val="22"/>
        </w:rPr>
        <w:t xml:space="preserve"> kuru</w:t>
      </w:r>
      <w:r>
        <w:rPr>
          <w:sz w:val="22"/>
          <w:szCs w:val="22"/>
        </w:rPr>
        <w:t xml:space="preserve"> </w:t>
      </w:r>
      <w:r w:rsidRPr="00C608BC">
        <w:rPr>
          <w:sz w:val="22"/>
          <w:szCs w:val="22"/>
        </w:rPr>
        <w:t>Pasūtītāj</w:t>
      </w:r>
      <w:r w:rsidR="002E44AD">
        <w:rPr>
          <w:sz w:val="22"/>
          <w:szCs w:val="22"/>
        </w:rPr>
        <w:t>a</w:t>
      </w:r>
      <w:r w:rsidRPr="00C608BC">
        <w:rPr>
          <w:sz w:val="22"/>
          <w:szCs w:val="22"/>
        </w:rPr>
        <w:t xml:space="preserve"> </w:t>
      </w:r>
      <w:r w:rsidR="001F4AC2">
        <w:rPr>
          <w:sz w:val="22"/>
          <w:szCs w:val="22"/>
        </w:rPr>
        <w:t xml:space="preserve">izmanto </w:t>
      </w:r>
      <w:r w:rsidR="00AA3050">
        <w:rPr>
          <w:sz w:val="22"/>
          <w:szCs w:val="22"/>
        </w:rPr>
        <w:t>Pārvietošanas</w:t>
      </w:r>
      <w:r w:rsidR="002E44AD">
        <w:rPr>
          <w:sz w:val="22"/>
          <w:szCs w:val="22"/>
        </w:rPr>
        <w:t xml:space="preserve"> maksas</w:t>
      </w:r>
      <w:r w:rsidRPr="00384B80">
        <w:rPr>
          <w:sz w:val="22"/>
          <w:szCs w:val="22"/>
        </w:rPr>
        <w:t xml:space="preserve"> aprēķin</w:t>
      </w:r>
      <w:r w:rsidR="001F4AC2">
        <w:rPr>
          <w:sz w:val="22"/>
          <w:szCs w:val="22"/>
        </w:rPr>
        <w:t>āšanai</w:t>
      </w:r>
      <w:r w:rsidR="007C6F81">
        <w:rPr>
          <w:sz w:val="22"/>
          <w:szCs w:val="22"/>
        </w:rPr>
        <w:t>.</w:t>
      </w:r>
    </w:p>
    <w:p w14:paraId="332CE6F6" w14:textId="25A39E59" w:rsidR="00C67945" w:rsidRDefault="00C67945" w:rsidP="003F6AD7">
      <w:pPr>
        <w:pStyle w:val="Default"/>
        <w:spacing w:after="19"/>
        <w:ind w:left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Līgums</w:t>
      </w:r>
      <w:r w:rsidRPr="00D70D75">
        <w:rPr>
          <w:sz w:val="22"/>
          <w:szCs w:val="22"/>
        </w:rPr>
        <w:t xml:space="preserve"> –</w:t>
      </w:r>
      <w:r>
        <w:rPr>
          <w:b/>
          <w:bCs/>
          <w:sz w:val="22"/>
          <w:szCs w:val="22"/>
        </w:rPr>
        <w:t xml:space="preserve"> </w:t>
      </w:r>
      <w:r w:rsidRPr="008977AC">
        <w:rPr>
          <w:sz w:val="22"/>
          <w:szCs w:val="22"/>
        </w:rPr>
        <w:t>iepirkuma līgums.</w:t>
      </w:r>
    </w:p>
    <w:p w14:paraId="3B1338BB" w14:textId="63534666" w:rsidR="00D70D75" w:rsidRPr="009F3615" w:rsidRDefault="00D70D75" w:rsidP="003F6AD7">
      <w:pPr>
        <w:pStyle w:val="Default"/>
        <w:spacing w:after="19"/>
        <w:ind w:left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Noteikumi </w:t>
      </w:r>
      <w:r w:rsidRPr="00EB3995">
        <w:rPr>
          <w:sz w:val="22"/>
          <w:szCs w:val="22"/>
        </w:rPr>
        <w:t xml:space="preserve">– </w:t>
      </w:r>
      <w:r w:rsidR="00EB3995" w:rsidRPr="00EB3995">
        <w:rPr>
          <w:sz w:val="22"/>
          <w:szCs w:val="22"/>
        </w:rPr>
        <w:t>Pasūtītāja samaksas noteikumi par Pārvietošanu</w:t>
      </w:r>
      <w:r w:rsidR="009F3615" w:rsidRPr="00EB3995">
        <w:rPr>
          <w:sz w:val="22"/>
          <w:szCs w:val="22"/>
        </w:rPr>
        <w:t>.</w:t>
      </w:r>
    </w:p>
    <w:p w14:paraId="57F3187C" w14:textId="69A8FD31" w:rsidR="003F6AD7" w:rsidRDefault="003F6AD7" w:rsidP="003F6AD7">
      <w:pPr>
        <w:pStyle w:val="Default"/>
        <w:spacing w:after="19"/>
        <w:ind w:left="426"/>
        <w:jc w:val="both"/>
        <w:rPr>
          <w:sz w:val="22"/>
          <w:szCs w:val="22"/>
        </w:rPr>
      </w:pPr>
      <w:r w:rsidRPr="008977AC">
        <w:rPr>
          <w:b/>
          <w:bCs/>
          <w:sz w:val="22"/>
          <w:szCs w:val="22"/>
        </w:rPr>
        <w:t>Tehnika</w:t>
      </w:r>
      <w:r w:rsidRPr="00C608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E00186">
        <w:rPr>
          <w:sz w:val="22"/>
          <w:szCs w:val="22"/>
        </w:rPr>
        <w:t>Uzņēmēja nodrošināt</w:t>
      </w:r>
      <w:r w:rsidR="002E44AD">
        <w:rPr>
          <w:sz w:val="22"/>
          <w:szCs w:val="22"/>
        </w:rPr>
        <w:t>a</w:t>
      </w:r>
      <w:r w:rsidR="00E00186">
        <w:rPr>
          <w:sz w:val="22"/>
          <w:szCs w:val="22"/>
        </w:rPr>
        <w:t xml:space="preserve"> </w:t>
      </w:r>
      <w:r w:rsidR="002E44AD">
        <w:rPr>
          <w:sz w:val="22"/>
          <w:szCs w:val="22"/>
        </w:rPr>
        <w:t>traktortehnika</w:t>
      </w:r>
      <w:r w:rsidR="00E00186">
        <w:rPr>
          <w:sz w:val="22"/>
          <w:szCs w:val="22"/>
        </w:rPr>
        <w:t>, kas iesaistīt</w:t>
      </w:r>
      <w:r w:rsidR="002E44AD">
        <w:rPr>
          <w:sz w:val="22"/>
          <w:szCs w:val="22"/>
        </w:rPr>
        <w:t>a</w:t>
      </w:r>
      <w:r w:rsidR="00E00186">
        <w:rPr>
          <w:sz w:val="22"/>
          <w:szCs w:val="22"/>
        </w:rPr>
        <w:t xml:space="preserve"> </w:t>
      </w:r>
      <w:r w:rsidR="002E44AD">
        <w:rPr>
          <w:sz w:val="22"/>
          <w:szCs w:val="22"/>
        </w:rPr>
        <w:t>L</w:t>
      </w:r>
      <w:r w:rsidR="00E00186">
        <w:rPr>
          <w:sz w:val="22"/>
          <w:szCs w:val="22"/>
        </w:rPr>
        <w:t>īgumā</w:t>
      </w:r>
      <w:r>
        <w:rPr>
          <w:sz w:val="22"/>
          <w:szCs w:val="22"/>
        </w:rPr>
        <w:t xml:space="preserve"> noteikto </w:t>
      </w:r>
      <w:r w:rsidRPr="00C608BC">
        <w:rPr>
          <w:sz w:val="22"/>
          <w:szCs w:val="22"/>
        </w:rPr>
        <w:t>Darbu izpildē</w:t>
      </w:r>
      <w:r w:rsidR="00C67945">
        <w:rPr>
          <w:sz w:val="22"/>
          <w:szCs w:val="22"/>
        </w:rPr>
        <w:t>.</w:t>
      </w:r>
    </w:p>
    <w:p w14:paraId="4486241A" w14:textId="1E874808" w:rsidR="002852A6" w:rsidRPr="002852A6" w:rsidRDefault="002852A6" w:rsidP="002852A6">
      <w:pPr>
        <w:pStyle w:val="Default"/>
        <w:spacing w:after="19"/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Pasūtītājs – </w:t>
      </w:r>
      <w:r w:rsidRPr="008977AC">
        <w:rPr>
          <w:sz w:val="22"/>
          <w:szCs w:val="22"/>
        </w:rPr>
        <w:t>akciju sabiedrība “Latvijas valsts meži”.</w:t>
      </w:r>
    </w:p>
    <w:p w14:paraId="19B3FD20" w14:textId="375D23CD" w:rsidR="00BB51E8" w:rsidRDefault="00BB51E8" w:rsidP="003F6AD7">
      <w:pPr>
        <w:pStyle w:val="Default"/>
        <w:spacing w:after="19"/>
        <w:ind w:left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Pārvietošana - </w:t>
      </w:r>
      <w:r w:rsidRPr="00D4431B">
        <w:rPr>
          <w:sz w:val="22"/>
          <w:szCs w:val="22"/>
        </w:rPr>
        <w:t xml:space="preserve">Tehnikas </w:t>
      </w:r>
      <w:r w:rsidR="00D4431B" w:rsidRPr="00D4431B">
        <w:rPr>
          <w:sz w:val="22"/>
          <w:szCs w:val="22"/>
        </w:rPr>
        <w:t>nogādāšana Platībā Darbu veikšanai</w:t>
      </w:r>
      <w:r w:rsidR="00D4431B">
        <w:rPr>
          <w:sz w:val="22"/>
          <w:szCs w:val="22"/>
        </w:rPr>
        <w:t xml:space="preserve">, piemēram, Tehnikas </w:t>
      </w:r>
      <w:r w:rsidRPr="00D4431B">
        <w:rPr>
          <w:sz w:val="22"/>
          <w:szCs w:val="22"/>
        </w:rPr>
        <w:t xml:space="preserve">transportēšana ar treileri </w:t>
      </w:r>
      <w:r w:rsidRPr="00A3737E">
        <w:rPr>
          <w:sz w:val="22"/>
          <w:szCs w:val="22"/>
        </w:rPr>
        <w:t xml:space="preserve">vai tās </w:t>
      </w:r>
      <w:r w:rsidR="00D4431B" w:rsidRPr="00A3737E">
        <w:rPr>
          <w:sz w:val="22"/>
          <w:szCs w:val="22"/>
        </w:rPr>
        <w:t xml:space="preserve">nokļūšana Platībā </w:t>
      </w:r>
      <w:r w:rsidRPr="00A3737E">
        <w:rPr>
          <w:sz w:val="22"/>
          <w:szCs w:val="22"/>
        </w:rPr>
        <w:t>savā gaitā</w:t>
      </w:r>
      <w:r w:rsidRPr="00D4431B">
        <w:rPr>
          <w:sz w:val="22"/>
          <w:szCs w:val="22"/>
        </w:rPr>
        <w:t>.</w:t>
      </w:r>
    </w:p>
    <w:p w14:paraId="6D2A9704" w14:textId="0D59A3B6" w:rsidR="003F6AD7" w:rsidRDefault="00AA3050" w:rsidP="003F6AD7">
      <w:pPr>
        <w:pStyle w:val="Default"/>
        <w:spacing w:after="19"/>
        <w:ind w:left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Pārvietošanas</w:t>
      </w:r>
      <w:r w:rsidR="003F6AD7" w:rsidRPr="008977AC">
        <w:rPr>
          <w:b/>
          <w:bCs/>
          <w:sz w:val="22"/>
          <w:szCs w:val="22"/>
        </w:rPr>
        <w:t xml:space="preserve"> maksa</w:t>
      </w:r>
      <w:r w:rsidR="003F6AD7" w:rsidRPr="00C608BC">
        <w:rPr>
          <w:sz w:val="22"/>
          <w:szCs w:val="22"/>
        </w:rPr>
        <w:t xml:space="preserve"> </w:t>
      </w:r>
      <w:r w:rsidR="00C67945">
        <w:rPr>
          <w:sz w:val="22"/>
          <w:szCs w:val="22"/>
        </w:rPr>
        <w:t>–</w:t>
      </w:r>
      <w:r w:rsidR="003F6AD7">
        <w:rPr>
          <w:sz w:val="22"/>
          <w:szCs w:val="22"/>
        </w:rPr>
        <w:t xml:space="preserve"> </w:t>
      </w:r>
      <w:r w:rsidR="003F6AD7" w:rsidRPr="00C608BC">
        <w:rPr>
          <w:sz w:val="22"/>
          <w:szCs w:val="22"/>
        </w:rPr>
        <w:t>Pasūtītāj</w:t>
      </w:r>
      <w:r w:rsidR="003F6AD7">
        <w:rPr>
          <w:sz w:val="22"/>
          <w:szCs w:val="22"/>
        </w:rPr>
        <w:t>a</w:t>
      </w:r>
      <w:r w:rsidR="003F6AD7" w:rsidRPr="00C608BC">
        <w:rPr>
          <w:sz w:val="22"/>
          <w:szCs w:val="22"/>
        </w:rPr>
        <w:t xml:space="preserve"> maks</w:t>
      </w:r>
      <w:r w:rsidR="003F6AD7">
        <w:rPr>
          <w:sz w:val="22"/>
          <w:szCs w:val="22"/>
        </w:rPr>
        <w:t>a</w:t>
      </w:r>
      <w:r w:rsidR="003F6AD7" w:rsidRPr="00C608BC">
        <w:rPr>
          <w:sz w:val="22"/>
          <w:szCs w:val="22"/>
        </w:rPr>
        <w:t xml:space="preserve"> Uzņēmējam par </w:t>
      </w:r>
      <w:r w:rsidR="002E44AD" w:rsidRPr="00D4431B">
        <w:rPr>
          <w:sz w:val="22"/>
          <w:szCs w:val="22"/>
        </w:rPr>
        <w:t>T</w:t>
      </w:r>
      <w:r w:rsidR="003F6AD7" w:rsidRPr="00D4431B">
        <w:rPr>
          <w:sz w:val="22"/>
          <w:szCs w:val="22"/>
        </w:rPr>
        <w:t xml:space="preserve">ehnikas </w:t>
      </w:r>
      <w:r w:rsidR="00D4431B">
        <w:rPr>
          <w:sz w:val="22"/>
          <w:szCs w:val="22"/>
        </w:rPr>
        <w:t>Pārvietošanu</w:t>
      </w:r>
      <w:r w:rsidR="00C67945">
        <w:rPr>
          <w:sz w:val="22"/>
          <w:szCs w:val="22"/>
        </w:rPr>
        <w:t>.</w:t>
      </w:r>
    </w:p>
    <w:p w14:paraId="02F2D8D0" w14:textId="0CE053B0" w:rsidR="003F6AD7" w:rsidRDefault="003F6AD7" w:rsidP="008977AC">
      <w:pPr>
        <w:pStyle w:val="Default"/>
        <w:spacing w:after="19"/>
        <w:ind w:left="426"/>
        <w:jc w:val="both"/>
        <w:rPr>
          <w:sz w:val="22"/>
          <w:szCs w:val="22"/>
        </w:rPr>
      </w:pPr>
      <w:r w:rsidRPr="008977AC">
        <w:rPr>
          <w:b/>
          <w:bCs/>
          <w:sz w:val="22"/>
          <w:szCs w:val="22"/>
        </w:rPr>
        <w:t>Platība</w:t>
      </w:r>
      <w:r w:rsidRPr="00C608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C608BC">
        <w:rPr>
          <w:sz w:val="22"/>
          <w:szCs w:val="22"/>
        </w:rPr>
        <w:t>Darba uzdevumā norādītā</w:t>
      </w:r>
      <w:r>
        <w:rPr>
          <w:sz w:val="22"/>
          <w:szCs w:val="22"/>
        </w:rPr>
        <w:t xml:space="preserve"> Darbu izpildes vieta</w:t>
      </w:r>
      <w:r w:rsidR="008977AC">
        <w:rPr>
          <w:sz w:val="22"/>
          <w:szCs w:val="22"/>
        </w:rPr>
        <w:t xml:space="preserve"> (nogabals</w:t>
      </w:r>
      <w:r w:rsidR="00ED7568">
        <w:rPr>
          <w:sz w:val="22"/>
          <w:szCs w:val="22"/>
        </w:rPr>
        <w:t>/-i</w:t>
      </w:r>
      <w:r w:rsidR="008977AC">
        <w:rPr>
          <w:sz w:val="22"/>
          <w:szCs w:val="22"/>
        </w:rPr>
        <w:t>)</w:t>
      </w:r>
      <w:r w:rsidR="00C67945">
        <w:rPr>
          <w:sz w:val="22"/>
          <w:szCs w:val="22"/>
        </w:rPr>
        <w:t>.</w:t>
      </w:r>
    </w:p>
    <w:p w14:paraId="49638FDE" w14:textId="69CCDD8D" w:rsidR="00D0193D" w:rsidRDefault="00D0193D" w:rsidP="00C67945">
      <w:pPr>
        <w:pStyle w:val="Default"/>
        <w:spacing w:after="19"/>
        <w:ind w:left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Puses – </w:t>
      </w:r>
      <w:r w:rsidRPr="008977AC">
        <w:rPr>
          <w:sz w:val="22"/>
          <w:szCs w:val="22"/>
        </w:rPr>
        <w:t>Pasūtītājs un Uzņēmējs saukti kopā</w:t>
      </w:r>
      <w:r w:rsidR="00BF515A">
        <w:rPr>
          <w:sz w:val="22"/>
          <w:szCs w:val="22"/>
        </w:rPr>
        <w:t>.</w:t>
      </w:r>
    </w:p>
    <w:p w14:paraId="27CD6186" w14:textId="4F71EBAF" w:rsidR="00B23365" w:rsidRDefault="00B23365" w:rsidP="00B23365">
      <w:pPr>
        <w:pStyle w:val="Default"/>
        <w:spacing w:after="19"/>
        <w:ind w:left="426"/>
        <w:jc w:val="both"/>
        <w:rPr>
          <w:sz w:val="22"/>
          <w:szCs w:val="22"/>
        </w:rPr>
      </w:pPr>
      <w:r w:rsidRPr="008977AC">
        <w:rPr>
          <w:b/>
          <w:bCs/>
          <w:sz w:val="22"/>
          <w:szCs w:val="22"/>
        </w:rPr>
        <w:t xml:space="preserve">Tehnikas </w:t>
      </w:r>
      <w:r>
        <w:rPr>
          <w:b/>
          <w:bCs/>
          <w:sz w:val="22"/>
          <w:szCs w:val="22"/>
        </w:rPr>
        <w:t>pārvietošanas</w:t>
      </w:r>
      <w:r w:rsidRPr="008977AC">
        <w:rPr>
          <w:b/>
          <w:bCs/>
          <w:sz w:val="22"/>
          <w:szCs w:val="22"/>
        </w:rPr>
        <w:t xml:space="preserve"> attālum</w:t>
      </w:r>
      <w:r>
        <w:rPr>
          <w:b/>
          <w:bCs/>
          <w:sz w:val="22"/>
          <w:szCs w:val="22"/>
        </w:rPr>
        <w:t>s</w:t>
      </w:r>
      <w:r w:rsidRPr="008977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- </w:t>
      </w:r>
      <w:r w:rsidRPr="0066685D">
        <w:rPr>
          <w:sz w:val="22"/>
          <w:szCs w:val="22"/>
        </w:rPr>
        <w:t>Platību savstarpējais</w:t>
      </w:r>
      <w:r w:rsidRPr="008977A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attālums pēc kā nosaka </w:t>
      </w:r>
      <w:r w:rsidRPr="00B23365">
        <w:rPr>
          <w:sz w:val="22"/>
          <w:szCs w:val="22"/>
        </w:rPr>
        <w:t>Tehnikas pārvietošanas attāluma int</w:t>
      </w:r>
      <w:r w:rsidRPr="00BF61FB">
        <w:rPr>
          <w:sz w:val="22"/>
          <w:szCs w:val="22"/>
        </w:rPr>
        <w:t>ervālu. Tehnikas pārvietošanas attālumu nosaka pēc attiecīgo Platību krautuvju</w:t>
      </w:r>
      <w:r w:rsidRPr="00BF61FB">
        <w:rPr>
          <w:b/>
          <w:bCs/>
          <w:sz w:val="22"/>
          <w:szCs w:val="22"/>
        </w:rPr>
        <w:t xml:space="preserve"> </w:t>
      </w:r>
      <w:r w:rsidRPr="00BF61FB">
        <w:rPr>
          <w:sz w:val="22"/>
          <w:szCs w:val="22"/>
        </w:rPr>
        <w:t>ģeogrāfiskajām koordinātām, kurā iespējama un pieļaujama Pārvietošana savstarpēji īsākajā maršrutā starp attiecīgajām</w:t>
      </w:r>
      <w:r w:rsidR="00277D7E">
        <w:rPr>
          <w:sz w:val="22"/>
          <w:szCs w:val="22"/>
        </w:rPr>
        <w:t xml:space="preserve"> Patībām</w:t>
      </w:r>
      <w:r w:rsidRPr="00BF61FB">
        <w:rPr>
          <w:sz w:val="22"/>
          <w:szCs w:val="22"/>
        </w:rPr>
        <w:t>.</w:t>
      </w:r>
      <w:r w:rsidR="00CE659A" w:rsidRPr="00BF61FB">
        <w:rPr>
          <w:sz w:val="22"/>
          <w:szCs w:val="22"/>
        </w:rPr>
        <w:t xml:space="preserve"> Ja kādai</w:t>
      </w:r>
      <w:r w:rsidR="00CE659A">
        <w:rPr>
          <w:sz w:val="22"/>
          <w:szCs w:val="22"/>
        </w:rPr>
        <w:t xml:space="preserve"> no Platībām </w:t>
      </w:r>
      <w:r w:rsidR="00CE659A" w:rsidRPr="008977AC">
        <w:rPr>
          <w:sz w:val="22"/>
          <w:szCs w:val="22"/>
        </w:rPr>
        <w:t>krautuv</w:t>
      </w:r>
      <w:r w:rsidR="00CE659A">
        <w:rPr>
          <w:sz w:val="22"/>
          <w:szCs w:val="22"/>
        </w:rPr>
        <w:t>es</w:t>
      </w:r>
      <w:r w:rsidR="00CE659A" w:rsidRPr="00E37975">
        <w:rPr>
          <w:b/>
          <w:bCs/>
          <w:sz w:val="22"/>
          <w:szCs w:val="22"/>
        </w:rPr>
        <w:t xml:space="preserve"> </w:t>
      </w:r>
      <w:r w:rsidR="00CE659A" w:rsidRPr="00384B80">
        <w:rPr>
          <w:sz w:val="22"/>
          <w:szCs w:val="22"/>
        </w:rPr>
        <w:t>ģeogrāfisk</w:t>
      </w:r>
      <w:r w:rsidR="00CE659A">
        <w:rPr>
          <w:sz w:val="22"/>
          <w:szCs w:val="22"/>
        </w:rPr>
        <w:t>ās</w:t>
      </w:r>
      <w:r w:rsidR="00CE659A" w:rsidRPr="00384B80">
        <w:rPr>
          <w:sz w:val="22"/>
          <w:szCs w:val="22"/>
        </w:rPr>
        <w:t xml:space="preserve"> koordināt</w:t>
      </w:r>
      <w:r w:rsidR="00CE659A">
        <w:rPr>
          <w:sz w:val="22"/>
          <w:szCs w:val="22"/>
        </w:rPr>
        <w:t xml:space="preserve">as nav pieejamas, </w:t>
      </w:r>
      <w:r w:rsidR="00CE659A" w:rsidRPr="00CE659A">
        <w:rPr>
          <w:sz w:val="22"/>
          <w:szCs w:val="22"/>
        </w:rPr>
        <w:t xml:space="preserve">Tehnikas pārvietošanas attālumu līdz šādai Platībai nosaka līdz </w:t>
      </w:r>
      <w:r w:rsidR="00BF515A">
        <w:rPr>
          <w:sz w:val="22"/>
          <w:szCs w:val="22"/>
        </w:rPr>
        <w:t xml:space="preserve">tās </w:t>
      </w:r>
      <w:r w:rsidR="00CE659A" w:rsidRPr="00CE659A">
        <w:rPr>
          <w:sz w:val="22"/>
          <w:szCs w:val="22"/>
        </w:rPr>
        <w:t>piebraucamajai vietai,</w:t>
      </w:r>
      <w:r w:rsidR="00CE659A">
        <w:rPr>
          <w:b/>
          <w:bCs/>
          <w:sz w:val="22"/>
          <w:szCs w:val="22"/>
        </w:rPr>
        <w:t xml:space="preserve"> </w:t>
      </w:r>
      <w:r w:rsidR="00CE659A">
        <w:rPr>
          <w:sz w:val="22"/>
          <w:szCs w:val="22"/>
        </w:rPr>
        <w:t xml:space="preserve">kurā iespējama un pieļaujama Pārvietošana savstarpēji īsākajā maršrutā starp attiecīgajām Platībām. </w:t>
      </w:r>
      <w:r>
        <w:rPr>
          <w:sz w:val="22"/>
          <w:szCs w:val="22"/>
        </w:rPr>
        <w:t xml:space="preserve">Platību savstarpējo attālumu </w:t>
      </w:r>
      <w:r w:rsidRPr="00384B80">
        <w:rPr>
          <w:sz w:val="22"/>
          <w:szCs w:val="22"/>
        </w:rPr>
        <w:t>aprēķina</w:t>
      </w:r>
      <w:r>
        <w:rPr>
          <w:sz w:val="22"/>
          <w:szCs w:val="22"/>
        </w:rPr>
        <w:t xml:space="preserve"> </w:t>
      </w:r>
      <w:r w:rsidRPr="00384B80">
        <w:rPr>
          <w:color w:val="auto"/>
          <w:sz w:val="22"/>
          <w:szCs w:val="22"/>
        </w:rPr>
        <w:t>Pasūtītājs, izmantojot Pasūtītāj</w:t>
      </w:r>
      <w:r>
        <w:rPr>
          <w:color w:val="auto"/>
          <w:sz w:val="22"/>
          <w:szCs w:val="22"/>
        </w:rPr>
        <w:t>a</w:t>
      </w:r>
      <w:r w:rsidRPr="00384B80">
        <w:rPr>
          <w:color w:val="auto"/>
          <w:sz w:val="22"/>
          <w:szCs w:val="22"/>
        </w:rPr>
        <w:t xml:space="preserve"> digitālo karšu datorprogrammu ģeogrāfiskās informācijas sistēmu “GEO”</w:t>
      </w:r>
      <w:r>
        <w:rPr>
          <w:sz w:val="22"/>
          <w:szCs w:val="22"/>
        </w:rPr>
        <w:t>.</w:t>
      </w:r>
    </w:p>
    <w:p w14:paraId="35E32B12" w14:textId="69DD6D99" w:rsidR="00133C76" w:rsidRDefault="00133C76" w:rsidP="00C67945">
      <w:pPr>
        <w:pStyle w:val="Default"/>
        <w:spacing w:after="19"/>
        <w:ind w:left="426"/>
        <w:jc w:val="both"/>
        <w:rPr>
          <w:sz w:val="22"/>
          <w:szCs w:val="22"/>
        </w:rPr>
      </w:pPr>
      <w:r w:rsidRPr="008977AC">
        <w:rPr>
          <w:b/>
          <w:bCs/>
          <w:sz w:val="22"/>
          <w:szCs w:val="22"/>
        </w:rPr>
        <w:t xml:space="preserve">Tehnikas </w:t>
      </w:r>
      <w:r w:rsidR="00AA3050">
        <w:rPr>
          <w:b/>
          <w:bCs/>
          <w:sz w:val="22"/>
          <w:szCs w:val="22"/>
        </w:rPr>
        <w:t>pārvietošanas</w:t>
      </w:r>
      <w:r w:rsidRPr="008977AC">
        <w:rPr>
          <w:b/>
          <w:bCs/>
          <w:sz w:val="22"/>
          <w:szCs w:val="22"/>
        </w:rPr>
        <w:t xml:space="preserve"> attāluma intervāls</w:t>
      </w:r>
      <w:r>
        <w:rPr>
          <w:sz w:val="22"/>
          <w:szCs w:val="22"/>
        </w:rPr>
        <w:t xml:space="preserve"> –</w:t>
      </w:r>
      <w:r w:rsidR="001F4AC2">
        <w:rPr>
          <w:sz w:val="22"/>
          <w:szCs w:val="22"/>
        </w:rPr>
        <w:t xml:space="preserve"> </w:t>
      </w:r>
      <w:r>
        <w:rPr>
          <w:sz w:val="22"/>
          <w:szCs w:val="22"/>
        </w:rPr>
        <w:t>attāluma</w:t>
      </w:r>
      <w:r w:rsidR="001F4AC2">
        <w:rPr>
          <w:sz w:val="22"/>
          <w:szCs w:val="22"/>
        </w:rPr>
        <w:t xml:space="preserve"> intervāls</w:t>
      </w:r>
      <w:r>
        <w:rPr>
          <w:sz w:val="22"/>
          <w:szCs w:val="22"/>
        </w:rPr>
        <w:t>,</w:t>
      </w:r>
      <w:r w:rsidR="008977AC">
        <w:rPr>
          <w:sz w:val="22"/>
          <w:szCs w:val="22"/>
        </w:rPr>
        <w:t xml:space="preserve"> </w:t>
      </w:r>
      <w:r w:rsidR="001F4AC2">
        <w:rPr>
          <w:sz w:val="22"/>
          <w:szCs w:val="22"/>
        </w:rPr>
        <w:t xml:space="preserve">kuru </w:t>
      </w:r>
      <w:r w:rsidR="002E44AD">
        <w:rPr>
          <w:sz w:val="22"/>
          <w:szCs w:val="22"/>
        </w:rPr>
        <w:t xml:space="preserve">Pasūtītājs </w:t>
      </w:r>
      <w:r w:rsidR="008977AC" w:rsidRPr="002E44AD">
        <w:rPr>
          <w:sz w:val="22"/>
          <w:szCs w:val="22"/>
        </w:rPr>
        <w:t xml:space="preserve">piemēro </w:t>
      </w:r>
      <w:r w:rsidR="002E44AD" w:rsidRPr="002E44AD">
        <w:rPr>
          <w:sz w:val="22"/>
          <w:szCs w:val="22"/>
        </w:rPr>
        <w:t>Koeficienta</w:t>
      </w:r>
      <w:r w:rsidR="002E44AD">
        <w:rPr>
          <w:b/>
          <w:bCs/>
          <w:sz w:val="22"/>
          <w:szCs w:val="22"/>
        </w:rPr>
        <w:t xml:space="preserve"> </w:t>
      </w:r>
      <w:r w:rsidR="001F4AC2">
        <w:rPr>
          <w:sz w:val="22"/>
          <w:szCs w:val="22"/>
        </w:rPr>
        <w:t>noteikšanai</w:t>
      </w:r>
      <w:r w:rsidR="001F4AC2" w:rsidRPr="00C608BC">
        <w:rPr>
          <w:sz w:val="22"/>
          <w:szCs w:val="22"/>
        </w:rPr>
        <w:t xml:space="preserve"> </w:t>
      </w:r>
      <w:r w:rsidR="0073402F">
        <w:rPr>
          <w:sz w:val="22"/>
          <w:szCs w:val="22"/>
        </w:rPr>
        <w:t>Pārvietošanas</w:t>
      </w:r>
      <w:r w:rsidR="002E44AD">
        <w:rPr>
          <w:sz w:val="22"/>
          <w:szCs w:val="22"/>
        </w:rPr>
        <w:t xml:space="preserve"> maksas apmēra aprēķināšanai.</w:t>
      </w:r>
    </w:p>
    <w:p w14:paraId="44A7345C" w14:textId="13278A55" w:rsidR="00C67945" w:rsidRDefault="00C67945" w:rsidP="008977AC">
      <w:pPr>
        <w:pStyle w:val="Default"/>
        <w:spacing w:after="19"/>
        <w:ind w:left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Uzņēmējs – </w:t>
      </w:r>
      <w:r w:rsidR="001F4AC2">
        <w:rPr>
          <w:sz w:val="22"/>
          <w:szCs w:val="22"/>
        </w:rPr>
        <w:t>pakalpojumu sniedzējs</w:t>
      </w:r>
      <w:r w:rsidRPr="008977AC">
        <w:rPr>
          <w:sz w:val="22"/>
          <w:szCs w:val="22"/>
        </w:rPr>
        <w:t xml:space="preserve">, ar kuru noslēgts </w:t>
      </w:r>
      <w:r w:rsidR="002E44AD">
        <w:rPr>
          <w:sz w:val="22"/>
          <w:szCs w:val="22"/>
        </w:rPr>
        <w:t>L</w:t>
      </w:r>
      <w:r w:rsidRPr="008977AC">
        <w:rPr>
          <w:sz w:val="22"/>
          <w:szCs w:val="22"/>
        </w:rPr>
        <w:t>īgums.</w:t>
      </w:r>
    </w:p>
    <w:bookmarkEnd w:id="0"/>
    <w:p w14:paraId="03AFBCFC" w14:textId="77777777" w:rsidR="003F6AD7" w:rsidRPr="00C608BC" w:rsidRDefault="003F6AD7" w:rsidP="008977AC">
      <w:pPr>
        <w:pStyle w:val="Default"/>
        <w:spacing w:after="19"/>
        <w:ind w:firstLine="720"/>
        <w:jc w:val="both"/>
        <w:rPr>
          <w:sz w:val="22"/>
          <w:szCs w:val="22"/>
        </w:rPr>
      </w:pPr>
    </w:p>
    <w:p w14:paraId="5146890F" w14:textId="448EA2E7" w:rsidR="00F5124C" w:rsidRDefault="00AA3050" w:rsidP="003F6AD7">
      <w:pPr>
        <w:pStyle w:val="Default"/>
        <w:numPr>
          <w:ilvl w:val="0"/>
          <w:numId w:val="6"/>
        </w:numPr>
        <w:spacing w:after="19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Pārvietošanas</w:t>
      </w:r>
      <w:r w:rsidR="002438AD">
        <w:rPr>
          <w:sz w:val="22"/>
          <w:szCs w:val="22"/>
        </w:rPr>
        <w:t xml:space="preserve"> maks</w:t>
      </w:r>
      <w:r w:rsidR="00E00186">
        <w:rPr>
          <w:sz w:val="22"/>
          <w:szCs w:val="22"/>
        </w:rPr>
        <w:t xml:space="preserve">u </w:t>
      </w:r>
      <w:r w:rsidR="00133C76">
        <w:rPr>
          <w:sz w:val="22"/>
          <w:szCs w:val="22"/>
        </w:rPr>
        <w:t>maksā</w:t>
      </w:r>
      <w:r w:rsidR="00F5124C">
        <w:rPr>
          <w:sz w:val="22"/>
          <w:szCs w:val="22"/>
        </w:rPr>
        <w:t xml:space="preserve"> par </w:t>
      </w:r>
      <w:r w:rsidR="0073402F" w:rsidRPr="001E090F">
        <w:rPr>
          <w:sz w:val="22"/>
          <w:szCs w:val="22"/>
        </w:rPr>
        <w:t xml:space="preserve">Tehnikas </w:t>
      </w:r>
      <w:r w:rsidR="00D4431B">
        <w:rPr>
          <w:sz w:val="22"/>
          <w:szCs w:val="22"/>
        </w:rPr>
        <w:t>Pārvietošanu</w:t>
      </w:r>
      <w:r w:rsidR="00F5124C">
        <w:rPr>
          <w:sz w:val="22"/>
          <w:szCs w:val="22"/>
        </w:rPr>
        <w:t>:</w:t>
      </w:r>
    </w:p>
    <w:p w14:paraId="1406991C" w14:textId="4E76DFCD" w:rsidR="00F5124C" w:rsidRDefault="00585D08" w:rsidP="00F5124C">
      <w:pPr>
        <w:pStyle w:val="Default"/>
        <w:numPr>
          <w:ilvl w:val="1"/>
          <w:numId w:val="6"/>
        </w:numPr>
        <w:spacing w:after="19"/>
        <w:jc w:val="both"/>
        <w:rPr>
          <w:sz w:val="22"/>
          <w:szCs w:val="22"/>
        </w:rPr>
      </w:pPr>
      <w:r w:rsidRPr="00C608BC">
        <w:rPr>
          <w:sz w:val="22"/>
          <w:szCs w:val="22"/>
        </w:rPr>
        <w:t>starp</w:t>
      </w:r>
      <w:r w:rsidR="001426F9" w:rsidRPr="00C608BC">
        <w:rPr>
          <w:sz w:val="22"/>
          <w:szCs w:val="22"/>
        </w:rPr>
        <w:t xml:space="preserve"> </w:t>
      </w:r>
      <w:r w:rsidR="002438AD">
        <w:rPr>
          <w:sz w:val="22"/>
          <w:szCs w:val="22"/>
        </w:rPr>
        <w:t>P</w:t>
      </w:r>
      <w:r w:rsidR="00905F6F" w:rsidRPr="00C608BC">
        <w:rPr>
          <w:sz w:val="22"/>
          <w:szCs w:val="22"/>
        </w:rPr>
        <w:t>latīb</w:t>
      </w:r>
      <w:r w:rsidR="00E00186">
        <w:rPr>
          <w:sz w:val="22"/>
          <w:szCs w:val="22"/>
        </w:rPr>
        <w:t>ām</w:t>
      </w:r>
      <w:r w:rsidR="00F5124C">
        <w:rPr>
          <w:sz w:val="22"/>
          <w:szCs w:val="22"/>
        </w:rPr>
        <w:t>;</w:t>
      </w:r>
    </w:p>
    <w:p w14:paraId="0D8D0D24" w14:textId="5BDC413E" w:rsidR="00E00186" w:rsidRDefault="007B6935" w:rsidP="00F5124C">
      <w:pPr>
        <w:pStyle w:val="Default"/>
        <w:numPr>
          <w:ilvl w:val="1"/>
          <w:numId w:val="6"/>
        </w:numPr>
        <w:spacing w:after="19"/>
        <w:jc w:val="both"/>
        <w:rPr>
          <w:sz w:val="22"/>
          <w:szCs w:val="22"/>
        </w:rPr>
      </w:pPr>
      <w:r>
        <w:rPr>
          <w:sz w:val="22"/>
          <w:szCs w:val="22"/>
        </w:rPr>
        <w:t>no Darba uzdevuma pēdējās Platības</w:t>
      </w:r>
      <w:r w:rsidR="00E05DD7">
        <w:rPr>
          <w:sz w:val="22"/>
          <w:szCs w:val="22"/>
        </w:rPr>
        <w:t xml:space="preserve"> atbilstoši Pasūtītāj</w:t>
      </w:r>
      <w:r w:rsidR="006A3D1B">
        <w:rPr>
          <w:sz w:val="22"/>
          <w:szCs w:val="22"/>
        </w:rPr>
        <w:t>a</w:t>
      </w:r>
      <w:r w:rsidR="00E05DD7">
        <w:rPr>
          <w:sz w:val="22"/>
          <w:szCs w:val="22"/>
        </w:rPr>
        <w:t xml:space="preserve"> noteiktajai Darbu izpildes secībai</w:t>
      </w:r>
      <w:r>
        <w:rPr>
          <w:sz w:val="22"/>
          <w:szCs w:val="22"/>
        </w:rPr>
        <w:t xml:space="preserve">, kurā Uzņēmējs </w:t>
      </w:r>
      <w:r w:rsidR="00894F77" w:rsidRPr="00F1175B">
        <w:rPr>
          <w:sz w:val="22"/>
          <w:szCs w:val="22"/>
        </w:rPr>
        <w:t>pabeidzis</w:t>
      </w:r>
      <w:r>
        <w:rPr>
          <w:sz w:val="22"/>
          <w:szCs w:val="22"/>
        </w:rPr>
        <w:t xml:space="preserve"> Darbus </w:t>
      </w:r>
      <w:r w:rsidR="00F5124C">
        <w:rPr>
          <w:sz w:val="22"/>
          <w:szCs w:val="22"/>
        </w:rPr>
        <w:t xml:space="preserve">uz </w:t>
      </w:r>
      <w:r w:rsidR="004A602B">
        <w:rPr>
          <w:sz w:val="22"/>
          <w:szCs w:val="22"/>
        </w:rPr>
        <w:t>nākamā</w:t>
      </w:r>
      <w:r w:rsidR="00F5124C">
        <w:rPr>
          <w:sz w:val="22"/>
          <w:szCs w:val="22"/>
        </w:rPr>
        <w:t xml:space="preserve"> Darba uzdevuma Platību</w:t>
      </w:r>
      <w:r>
        <w:rPr>
          <w:sz w:val="22"/>
          <w:szCs w:val="22"/>
        </w:rPr>
        <w:t xml:space="preserve">, kurā </w:t>
      </w:r>
      <w:r w:rsidR="00E05DD7">
        <w:rPr>
          <w:sz w:val="22"/>
          <w:szCs w:val="22"/>
        </w:rPr>
        <w:t>kā nākamie jāveic Darbi atbilstoši Pasūtītāj</w:t>
      </w:r>
      <w:r w:rsidR="006A3D1B">
        <w:rPr>
          <w:sz w:val="22"/>
          <w:szCs w:val="22"/>
        </w:rPr>
        <w:t>a</w:t>
      </w:r>
      <w:r w:rsidR="00E05DD7">
        <w:rPr>
          <w:sz w:val="22"/>
          <w:szCs w:val="22"/>
        </w:rPr>
        <w:t xml:space="preserve"> noteiktajai Darbu izpildes secībai</w:t>
      </w:r>
      <w:r w:rsidR="009F007D">
        <w:rPr>
          <w:sz w:val="22"/>
          <w:szCs w:val="22"/>
        </w:rPr>
        <w:t>;</w:t>
      </w:r>
    </w:p>
    <w:p w14:paraId="1A3DDCCD" w14:textId="77777777" w:rsidR="00D20EB3" w:rsidRPr="00D20EB3" w:rsidRDefault="009F007D" w:rsidP="00D20EB3">
      <w:pPr>
        <w:pStyle w:val="Default"/>
        <w:numPr>
          <w:ilvl w:val="1"/>
          <w:numId w:val="6"/>
        </w:numPr>
        <w:spacing w:after="19"/>
        <w:jc w:val="both"/>
        <w:rPr>
          <w:sz w:val="22"/>
          <w:szCs w:val="22"/>
        </w:rPr>
      </w:pPr>
      <w:r>
        <w:rPr>
          <w:sz w:val="22"/>
          <w:szCs w:val="22"/>
        </w:rPr>
        <w:t>uz</w:t>
      </w:r>
      <w:r w:rsidR="008B09E6">
        <w:rPr>
          <w:sz w:val="22"/>
          <w:szCs w:val="22"/>
        </w:rPr>
        <w:t xml:space="preserve"> Noteikumu 1.1. vai 1.2. punktā</w:t>
      </w:r>
      <w:r>
        <w:rPr>
          <w:sz w:val="22"/>
          <w:szCs w:val="22"/>
        </w:rPr>
        <w:t xml:space="preserve"> </w:t>
      </w:r>
      <w:r w:rsidR="00EF71D2">
        <w:rPr>
          <w:sz w:val="22"/>
          <w:szCs w:val="22"/>
        </w:rPr>
        <w:t xml:space="preserve">noteiktu </w:t>
      </w:r>
      <w:r>
        <w:rPr>
          <w:sz w:val="22"/>
          <w:szCs w:val="22"/>
        </w:rPr>
        <w:t xml:space="preserve">Platību, kurā </w:t>
      </w:r>
      <w:r w:rsidRPr="008977AC">
        <w:rPr>
          <w:sz w:val="22"/>
          <w:szCs w:val="22"/>
        </w:rPr>
        <w:t>Darba izpilde nav iespējama</w:t>
      </w:r>
      <w:r>
        <w:rPr>
          <w:sz w:val="22"/>
          <w:szCs w:val="22"/>
        </w:rPr>
        <w:t xml:space="preserve"> </w:t>
      </w:r>
      <w:r w:rsidRPr="008977AC">
        <w:rPr>
          <w:bCs/>
          <w:sz w:val="22"/>
          <w:szCs w:val="22"/>
        </w:rPr>
        <w:t xml:space="preserve">tādu iemeslu dēļ, </w:t>
      </w:r>
      <w:r>
        <w:rPr>
          <w:bCs/>
          <w:sz w:val="22"/>
          <w:szCs w:val="22"/>
        </w:rPr>
        <w:t xml:space="preserve">par kuru atbildīgs ir </w:t>
      </w:r>
      <w:r w:rsidRPr="008977AC">
        <w:rPr>
          <w:bCs/>
          <w:sz w:val="22"/>
          <w:szCs w:val="22"/>
        </w:rPr>
        <w:t>Pasūtītājs</w:t>
      </w:r>
      <w:r w:rsidR="00D20EB3">
        <w:rPr>
          <w:bCs/>
          <w:sz w:val="22"/>
          <w:szCs w:val="22"/>
        </w:rPr>
        <w:t>;</w:t>
      </w:r>
    </w:p>
    <w:p w14:paraId="59E53ED6" w14:textId="0B9E42FC" w:rsidR="009F007D" w:rsidRPr="00D20EB3" w:rsidRDefault="00D20EB3" w:rsidP="00D20EB3">
      <w:pPr>
        <w:pStyle w:val="Default"/>
        <w:numPr>
          <w:ilvl w:val="1"/>
          <w:numId w:val="6"/>
        </w:numPr>
        <w:spacing w:after="19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kas ir </w:t>
      </w:r>
      <w:r w:rsidRPr="00D20EB3">
        <w:rPr>
          <w:sz w:val="22"/>
          <w:szCs w:val="22"/>
        </w:rPr>
        <w:t>atkārtot</w:t>
      </w:r>
      <w:r>
        <w:rPr>
          <w:sz w:val="22"/>
          <w:szCs w:val="22"/>
        </w:rPr>
        <w:t>a Pārvietošana</w:t>
      </w:r>
      <w:r w:rsidRPr="00D20EB3">
        <w:rPr>
          <w:sz w:val="22"/>
          <w:szCs w:val="22"/>
        </w:rPr>
        <w:t xml:space="preserve"> uz Noteikumu 1.</w:t>
      </w:r>
      <w:r>
        <w:rPr>
          <w:sz w:val="22"/>
          <w:szCs w:val="22"/>
        </w:rPr>
        <w:t>3</w:t>
      </w:r>
      <w:r w:rsidRPr="00D20EB3">
        <w:rPr>
          <w:sz w:val="22"/>
          <w:szCs w:val="22"/>
        </w:rPr>
        <w:t>. punktā noteikt</w:t>
      </w:r>
      <w:r>
        <w:rPr>
          <w:sz w:val="22"/>
          <w:szCs w:val="22"/>
        </w:rPr>
        <w:t>o</w:t>
      </w:r>
      <w:r w:rsidRPr="00D20EB3">
        <w:rPr>
          <w:sz w:val="22"/>
          <w:szCs w:val="22"/>
        </w:rPr>
        <w:t xml:space="preserve"> Platību</w:t>
      </w:r>
      <w:r w:rsidR="00F65E02">
        <w:rPr>
          <w:sz w:val="22"/>
          <w:szCs w:val="22"/>
        </w:rPr>
        <w:t xml:space="preserve"> (jāsaskaņo</w:t>
      </w:r>
      <w:r w:rsidR="00130A7E">
        <w:rPr>
          <w:sz w:val="22"/>
          <w:szCs w:val="22"/>
        </w:rPr>
        <w:t xml:space="preserve"> iepriekš</w:t>
      </w:r>
      <w:r w:rsidR="00F65E02">
        <w:rPr>
          <w:sz w:val="22"/>
          <w:szCs w:val="22"/>
        </w:rPr>
        <w:t xml:space="preserve"> ar Pasūtītāju, ja </w:t>
      </w:r>
      <w:r w:rsidR="00026ADF">
        <w:rPr>
          <w:sz w:val="22"/>
          <w:szCs w:val="22"/>
        </w:rPr>
        <w:t xml:space="preserve">tā nav noteikta </w:t>
      </w:r>
      <w:r w:rsidR="00F65E02">
        <w:rPr>
          <w:sz w:val="22"/>
          <w:szCs w:val="22"/>
        </w:rPr>
        <w:t xml:space="preserve">Darba </w:t>
      </w:r>
      <w:r w:rsidR="00026ADF">
        <w:rPr>
          <w:sz w:val="22"/>
          <w:szCs w:val="22"/>
        </w:rPr>
        <w:t>izpildes secībā</w:t>
      </w:r>
      <w:r w:rsidR="00F65E02">
        <w:rPr>
          <w:sz w:val="22"/>
          <w:szCs w:val="22"/>
        </w:rPr>
        <w:t>)</w:t>
      </w:r>
      <w:r w:rsidR="009F007D" w:rsidRPr="00D20EB3">
        <w:rPr>
          <w:bCs/>
          <w:sz w:val="22"/>
          <w:szCs w:val="22"/>
        </w:rPr>
        <w:t>.</w:t>
      </w:r>
    </w:p>
    <w:p w14:paraId="18A97CFC" w14:textId="5981C68E" w:rsidR="00C75DCE" w:rsidRPr="00C75DCE" w:rsidRDefault="00AA3050" w:rsidP="008977AC">
      <w:pPr>
        <w:pStyle w:val="Default"/>
        <w:numPr>
          <w:ilvl w:val="0"/>
          <w:numId w:val="6"/>
        </w:numPr>
        <w:spacing w:after="19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Pārvietošanas </w:t>
      </w:r>
      <w:r w:rsidR="00004E47">
        <w:rPr>
          <w:sz w:val="22"/>
          <w:szCs w:val="22"/>
        </w:rPr>
        <w:t xml:space="preserve">maksas </w:t>
      </w:r>
      <w:r w:rsidR="00C608BC">
        <w:rPr>
          <w:sz w:val="22"/>
          <w:szCs w:val="22"/>
        </w:rPr>
        <w:t xml:space="preserve">apmērs atkarīgs no </w:t>
      </w:r>
      <w:r w:rsidR="002438AD">
        <w:rPr>
          <w:sz w:val="22"/>
          <w:szCs w:val="22"/>
        </w:rPr>
        <w:t>P</w:t>
      </w:r>
      <w:r w:rsidR="00C608BC" w:rsidRPr="00C608BC">
        <w:rPr>
          <w:sz w:val="22"/>
          <w:szCs w:val="22"/>
        </w:rPr>
        <w:t>latīb</w:t>
      </w:r>
      <w:r w:rsidR="00004E47">
        <w:rPr>
          <w:sz w:val="22"/>
          <w:szCs w:val="22"/>
        </w:rPr>
        <w:t>u</w:t>
      </w:r>
      <w:r w:rsidR="00C608BC">
        <w:rPr>
          <w:sz w:val="22"/>
          <w:szCs w:val="22"/>
        </w:rPr>
        <w:t xml:space="preserve"> savstarpējā attāluma</w:t>
      </w:r>
      <w:r w:rsidR="00004E47">
        <w:rPr>
          <w:sz w:val="22"/>
          <w:szCs w:val="22"/>
        </w:rPr>
        <w:t>.</w:t>
      </w:r>
      <w:r w:rsidR="00C75DCE" w:rsidRPr="008977AC">
        <w:rPr>
          <w:sz w:val="22"/>
          <w:szCs w:val="22"/>
        </w:rPr>
        <w:t xml:space="preserve"> </w:t>
      </w:r>
    </w:p>
    <w:p w14:paraId="10A1B770" w14:textId="461656CE" w:rsidR="001F4AC2" w:rsidRDefault="00AA3050" w:rsidP="0042495A">
      <w:pPr>
        <w:pStyle w:val="Default"/>
        <w:numPr>
          <w:ilvl w:val="0"/>
          <w:numId w:val="6"/>
        </w:numPr>
        <w:spacing w:after="19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Pārvietošanas </w:t>
      </w:r>
      <w:r w:rsidR="00004E47">
        <w:rPr>
          <w:sz w:val="22"/>
          <w:szCs w:val="22"/>
        </w:rPr>
        <w:t>maksu</w:t>
      </w:r>
      <w:r w:rsidR="00004E47" w:rsidRPr="00384B80">
        <w:rPr>
          <w:sz w:val="22"/>
          <w:szCs w:val="22"/>
        </w:rPr>
        <w:t xml:space="preserve"> </w:t>
      </w:r>
      <w:r w:rsidR="00004E47">
        <w:rPr>
          <w:sz w:val="22"/>
          <w:szCs w:val="22"/>
        </w:rPr>
        <w:t>maksā</w:t>
      </w:r>
      <w:r w:rsidR="00CB44C3" w:rsidRPr="00384B80">
        <w:rPr>
          <w:sz w:val="22"/>
          <w:szCs w:val="22"/>
        </w:rPr>
        <w:t xml:space="preserve">, </w:t>
      </w:r>
      <w:r w:rsidR="00CB44C3" w:rsidRPr="00C608BC">
        <w:rPr>
          <w:sz w:val="22"/>
          <w:szCs w:val="22"/>
        </w:rPr>
        <w:t>ja</w:t>
      </w:r>
      <w:r w:rsidR="001F4AC2">
        <w:rPr>
          <w:sz w:val="22"/>
          <w:szCs w:val="22"/>
        </w:rPr>
        <w:t>:</w:t>
      </w:r>
    </w:p>
    <w:p w14:paraId="64D9970F" w14:textId="3111B11F" w:rsidR="00CB44C3" w:rsidRDefault="00D70D75" w:rsidP="001F4AC2">
      <w:pPr>
        <w:pStyle w:val="Default"/>
        <w:numPr>
          <w:ilvl w:val="1"/>
          <w:numId w:val="6"/>
        </w:numPr>
        <w:spacing w:after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Noteikumu 1. punktā noteikto </w:t>
      </w:r>
      <w:r w:rsidR="00817430">
        <w:rPr>
          <w:sz w:val="22"/>
          <w:szCs w:val="22"/>
        </w:rPr>
        <w:t>Platību savstarpējais attālums</w:t>
      </w:r>
      <w:r w:rsidR="00817430" w:rsidRPr="00C608BC">
        <w:rPr>
          <w:sz w:val="22"/>
          <w:szCs w:val="22"/>
        </w:rPr>
        <w:t xml:space="preserve"> </w:t>
      </w:r>
      <w:r w:rsidR="00CB44C3" w:rsidRPr="00C608BC">
        <w:rPr>
          <w:sz w:val="22"/>
          <w:szCs w:val="22"/>
        </w:rPr>
        <w:t>pārsniedz 1 kilometru</w:t>
      </w:r>
      <w:r w:rsidR="001F4AC2">
        <w:rPr>
          <w:sz w:val="22"/>
          <w:szCs w:val="22"/>
        </w:rPr>
        <w:t>;</w:t>
      </w:r>
    </w:p>
    <w:p w14:paraId="28F23396" w14:textId="78773020" w:rsidR="004863BA" w:rsidRPr="00EE400A" w:rsidRDefault="00894F77" w:rsidP="00EE400A">
      <w:pPr>
        <w:pStyle w:val="Default"/>
        <w:numPr>
          <w:ilvl w:val="1"/>
          <w:numId w:val="6"/>
        </w:numPr>
        <w:spacing w:after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Darbu izpilde </w:t>
      </w:r>
      <w:r w:rsidR="004863BA">
        <w:rPr>
          <w:sz w:val="22"/>
          <w:szCs w:val="22"/>
        </w:rPr>
        <w:t xml:space="preserve">Platībā </w:t>
      </w:r>
      <w:r>
        <w:rPr>
          <w:sz w:val="22"/>
          <w:szCs w:val="22"/>
        </w:rPr>
        <w:t>atbilst Līgumā noteiktajām prasībām</w:t>
      </w:r>
      <w:r w:rsidR="004863BA">
        <w:rPr>
          <w:sz w:val="22"/>
          <w:szCs w:val="22"/>
        </w:rPr>
        <w:t xml:space="preserve"> un </w:t>
      </w:r>
      <w:r w:rsidR="00EE400A">
        <w:rPr>
          <w:sz w:val="22"/>
          <w:szCs w:val="22"/>
        </w:rPr>
        <w:t xml:space="preserve">Uzņēmēja </w:t>
      </w:r>
      <w:r w:rsidR="004863BA">
        <w:rPr>
          <w:sz w:val="22"/>
          <w:szCs w:val="22"/>
        </w:rPr>
        <w:t>paškontroles akt</w:t>
      </w:r>
      <w:r w:rsidR="00F1175B">
        <w:rPr>
          <w:sz w:val="22"/>
          <w:szCs w:val="22"/>
        </w:rPr>
        <w:t>ā</w:t>
      </w:r>
      <w:r w:rsidR="004863BA">
        <w:rPr>
          <w:sz w:val="22"/>
          <w:szCs w:val="22"/>
        </w:rPr>
        <w:t xml:space="preserve"> par </w:t>
      </w:r>
      <w:r w:rsidR="00F1175B">
        <w:rPr>
          <w:sz w:val="22"/>
          <w:szCs w:val="22"/>
        </w:rPr>
        <w:t xml:space="preserve">Darbu izpildi </w:t>
      </w:r>
      <w:r w:rsidR="004863BA">
        <w:rPr>
          <w:sz w:val="22"/>
          <w:szCs w:val="22"/>
        </w:rPr>
        <w:t>attiecīg</w:t>
      </w:r>
      <w:r w:rsidR="00F1175B">
        <w:rPr>
          <w:sz w:val="22"/>
          <w:szCs w:val="22"/>
        </w:rPr>
        <w:t xml:space="preserve">ajā </w:t>
      </w:r>
      <w:r w:rsidR="001265A9">
        <w:rPr>
          <w:sz w:val="22"/>
          <w:szCs w:val="22"/>
        </w:rPr>
        <w:t>P</w:t>
      </w:r>
      <w:r w:rsidR="004863BA">
        <w:rPr>
          <w:sz w:val="22"/>
          <w:szCs w:val="22"/>
        </w:rPr>
        <w:t>latīb</w:t>
      </w:r>
      <w:r w:rsidR="00F1175B">
        <w:rPr>
          <w:sz w:val="22"/>
          <w:szCs w:val="22"/>
        </w:rPr>
        <w:t xml:space="preserve">ā ir </w:t>
      </w:r>
      <w:r w:rsidR="006053D1">
        <w:rPr>
          <w:sz w:val="22"/>
          <w:szCs w:val="22"/>
        </w:rPr>
        <w:t>norādīti kilomet</w:t>
      </w:r>
      <w:r w:rsidR="004728A8">
        <w:rPr>
          <w:sz w:val="22"/>
          <w:szCs w:val="22"/>
        </w:rPr>
        <w:t>r</w:t>
      </w:r>
      <w:r w:rsidR="006053D1">
        <w:rPr>
          <w:sz w:val="22"/>
          <w:szCs w:val="22"/>
        </w:rPr>
        <w:t>i</w:t>
      </w:r>
      <w:r w:rsidR="004728A8">
        <w:rPr>
          <w:sz w:val="22"/>
          <w:szCs w:val="22"/>
        </w:rPr>
        <w:t xml:space="preserve"> </w:t>
      </w:r>
      <w:r w:rsidR="00EE400A">
        <w:rPr>
          <w:sz w:val="22"/>
          <w:szCs w:val="22"/>
        </w:rPr>
        <w:t>Pārvietošanas maksas saņemšanai</w:t>
      </w:r>
      <w:r w:rsidR="001265A9" w:rsidRPr="00EE400A">
        <w:rPr>
          <w:sz w:val="22"/>
          <w:szCs w:val="22"/>
        </w:rPr>
        <w:t>.</w:t>
      </w:r>
    </w:p>
    <w:p w14:paraId="2A760AC2" w14:textId="1E572ACB" w:rsidR="00905F6F" w:rsidRPr="008977AC" w:rsidRDefault="008977AC" w:rsidP="0042495A">
      <w:pPr>
        <w:pStyle w:val="Default"/>
        <w:numPr>
          <w:ilvl w:val="0"/>
          <w:numId w:val="6"/>
        </w:numPr>
        <w:spacing w:after="19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Konkrētu </w:t>
      </w:r>
      <w:r w:rsidR="00E3011E">
        <w:rPr>
          <w:sz w:val="22"/>
          <w:szCs w:val="22"/>
        </w:rPr>
        <w:t xml:space="preserve">Noteikumu 5. punktā norādītu </w:t>
      </w:r>
      <w:r w:rsidRPr="008977AC">
        <w:rPr>
          <w:sz w:val="22"/>
          <w:szCs w:val="22"/>
        </w:rPr>
        <w:t xml:space="preserve">Tehnikas </w:t>
      </w:r>
      <w:r w:rsidR="00AA3050">
        <w:rPr>
          <w:sz w:val="22"/>
          <w:szCs w:val="22"/>
        </w:rPr>
        <w:t xml:space="preserve">pārvietošanas </w:t>
      </w:r>
      <w:r w:rsidRPr="008977AC">
        <w:rPr>
          <w:sz w:val="22"/>
          <w:szCs w:val="22"/>
        </w:rPr>
        <w:t>attāluma intervāl</w:t>
      </w:r>
      <w:r>
        <w:rPr>
          <w:sz w:val="22"/>
          <w:szCs w:val="22"/>
        </w:rPr>
        <w:t>u</w:t>
      </w:r>
      <w:r w:rsidR="00EF71D2">
        <w:rPr>
          <w:sz w:val="22"/>
          <w:szCs w:val="22"/>
        </w:rPr>
        <w:t xml:space="preserve"> un Pārvietošanas maksas aprēķinā piemērojamo Koeficientu </w:t>
      </w:r>
      <w:r>
        <w:rPr>
          <w:sz w:val="22"/>
          <w:szCs w:val="22"/>
        </w:rPr>
        <w:t>nosaka, ņemot vērā P</w:t>
      </w:r>
      <w:r w:rsidRPr="00C608BC">
        <w:rPr>
          <w:sz w:val="22"/>
          <w:szCs w:val="22"/>
        </w:rPr>
        <w:t>latīb</w:t>
      </w:r>
      <w:r>
        <w:rPr>
          <w:sz w:val="22"/>
          <w:szCs w:val="22"/>
        </w:rPr>
        <w:t>u savstarpējo attālumu</w:t>
      </w:r>
      <w:r>
        <w:rPr>
          <w:color w:val="auto"/>
          <w:sz w:val="22"/>
          <w:szCs w:val="22"/>
        </w:rPr>
        <w:t xml:space="preserve">, kuru </w:t>
      </w:r>
      <w:r w:rsidRPr="00384B80">
        <w:rPr>
          <w:color w:val="auto"/>
          <w:sz w:val="22"/>
          <w:szCs w:val="22"/>
        </w:rPr>
        <w:t>noapaļo pēc aritmētikas principiem līdz pilniem kilometriem</w:t>
      </w:r>
      <w:r>
        <w:rPr>
          <w:color w:val="auto"/>
          <w:sz w:val="22"/>
          <w:szCs w:val="22"/>
        </w:rPr>
        <w:t xml:space="preserve"> (</w:t>
      </w:r>
      <w:r w:rsidRPr="00384B80">
        <w:rPr>
          <w:color w:val="auto"/>
          <w:sz w:val="22"/>
          <w:szCs w:val="22"/>
        </w:rPr>
        <w:t xml:space="preserve">piemēram, </w:t>
      </w:r>
      <w:r w:rsidR="004110D9">
        <w:rPr>
          <w:color w:val="auto"/>
          <w:sz w:val="22"/>
          <w:szCs w:val="22"/>
        </w:rPr>
        <w:t>1</w:t>
      </w:r>
      <w:r w:rsidRPr="00384B80">
        <w:rPr>
          <w:color w:val="auto"/>
          <w:sz w:val="22"/>
          <w:szCs w:val="22"/>
        </w:rPr>
        <w:t xml:space="preserve">499 un mazāk metri ir </w:t>
      </w:r>
      <w:r w:rsidR="004110D9">
        <w:rPr>
          <w:color w:val="auto"/>
          <w:sz w:val="22"/>
          <w:szCs w:val="22"/>
        </w:rPr>
        <w:t>1</w:t>
      </w:r>
      <w:r w:rsidRPr="00384B80">
        <w:rPr>
          <w:color w:val="auto"/>
          <w:sz w:val="22"/>
          <w:szCs w:val="22"/>
        </w:rPr>
        <w:t xml:space="preserve"> kilometr</w:t>
      </w:r>
      <w:r w:rsidR="00EE400A">
        <w:rPr>
          <w:color w:val="auto"/>
          <w:sz w:val="22"/>
          <w:szCs w:val="22"/>
        </w:rPr>
        <w:t>s</w:t>
      </w:r>
      <w:r w:rsidRPr="00384B80">
        <w:rPr>
          <w:color w:val="auto"/>
          <w:sz w:val="22"/>
          <w:szCs w:val="22"/>
        </w:rPr>
        <w:t xml:space="preserve">, bet </w:t>
      </w:r>
      <w:r w:rsidR="004110D9">
        <w:rPr>
          <w:color w:val="auto"/>
          <w:sz w:val="22"/>
          <w:szCs w:val="22"/>
        </w:rPr>
        <w:t>1</w:t>
      </w:r>
      <w:r w:rsidRPr="00384B80">
        <w:rPr>
          <w:color w:val="auto"/>
          <w:sz w:val="22"/>
          <w:szCs w:val="22"/>
        </w:rPr>
        <w:t xml:space="preserve">500 un vairāk metri ir </w:t>
      </w:r>
      <w:r w:rsidR="004110D9">
        <w:rPr>
          <w:color w:val="auto"/>
          <w:sz w:val="22"/>
          <w:szCs w:val="22"/>
        </w:rPr>
        <w:t>2</w:t>
      </w:r>
      <w:r w:rsidRPr="00384B80">
        <w:rPr>
          <w:color w:val="auto"/>
          <w:sz w:val="22"/>
          <w:szCs w:val="22"/>
        </w:rPr>
        <w:t xml:space="preserve"> kilometr</w:t>
      </w:r>
      <w:r w:rsidR="00EE400A">
        <w:rPr>
          <w:color w:val="auto"/>
          <w:sz w:val="22"/>
          <w:szCs w:val="22"/>
        </w:rPr>
        <w:t>i</w:t>
      </w:r>
      <w:r>
        <w:rPr>
          <w:color w:val="auto"/>
          <w:sz w:val="22"/>
          <w:szCs w:val="22"/>
        </w:rPr>
        <w:t>)</w:t>
      </w:r>
      <w:r w:rsidR="00817430" w:rsidRPr="008977AC">
        <w:rPr>
          <w:color w:val="auto"/>
          <w:sz w:val="22"/>
          <w:szCs w:val="22"/>
        </w:rPr>
        <w:t>.</w:t>
      </w:r>
    </w:p>
    <w:p w14:paraId="607CB419" w14:textId="4D5BBA98" w:rsidR="00817430" w:rsidRPr="008977AC" w:rsidRDefault="00193E4A" w:rsidP="008977AC">
      <w:pPr>
        <w:pStyle w:val="Default"/>
        <w:numPr>
          <w:ilvl w:val="0"/>
          <w:numId w:val="6"/>
        </w:numPr>
        <w:spacing w:after="19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Pārvietošanas</w:t>
      </w:r>
      <w:r w:rsidR="00817430">
        <w:rPr>
          <w:sz w:val="22"/>
          <w:szCs w:val="22"/>
        </w:rPr>
        <w:t xml:space="preserve"> maksu aprēķina</w:t>
      </w:r>
      <w:r w:rsidR="00817430" w:rsidRPr="00C608BC">
        <w:rPr>
          <w:sz w:val="22"/>
          <w:szCs w:val="22"/>
        </w:rPr>
        <w:t xml:space="preserve">, reizinot </w:t>
      </w:r>
      <w:r w:rsidR="00817430">
        <w:rPr>
          <w:sz w:val="22"/>
          <w:szCs w:val="22"/>
        </w:rPr>
        <w:t>attiecīg</w:t>
      </w:r>
      <w:r w:rsidR="009F3615">
        <w:rPr>
          <w:sz w:val="22"/>
          <w:szCs w:val="22"/>
        </w:rPr>
        <w:t>o</w:t>
      </w:r>
      <w:r w:rsidR="007C6F81">
        <w:rPr>
          <w:sz w:val="22"/>
          <w:szCs w:val="22"/>
        </w:rPr>
        <w:t xml:space="preserve"> </w:t>
      </w:r>
      <w:r w:rsidR="00E00186">
        <w:rPr>
          <w:sz w:val="22"/>
          <w:szCs w:val="22"/>
        </w:rPr>
        <w:t>K</w:t>
      </w:r>
      <w:r w:rsidR="00817430" w:rsidRPr="00C608BC">
        <w:rPr>
          <w:sz w:val="22"/>
          <w:szCs w:val="22"/>
        </w:rPr>
        <w:t>oeficientu</w:t>
      </w:r>
      <w:r w:rsidR="00817430">
        <w:rPr>
          <w:sz w:val="22"/>
          <w:szCs w:val="22"/>
        </w:rPr>
        <w:t xml:space="preserve"> </w:t>
      </w:r>
      <w:r w:rsidR="00817430" w:rsidRPr="00C608BC">
        <w:rPr>
          <w:sz w:val="22"/>
          <w:szCs w:val="22"/>
        </w:rPr>
        <w:t xml:space="preserve">ar 90,00 </w:t>
      </w:r>
      <w:r w:rsidR="00BF2A38" w:rsidRPr="00BF2A38">
        <w:rPr>
          <w:i/>
          <w:iCs/>
          <w:sz w:val="22"/>
          <w:szCs w:val="22"/>
        </w:rPr>
        <w:t>euro</w:t>
      </w:r>
      <w:r w:rsidR="00F7037A">
        <w:rPr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276"/>
      </w:tblGrid>
      <w:tr w:rsidR="00EE400A" w:rsidRPr="00C608BC" w14:paraId="1F99EBF7" w14:textId="77777777" w:rsidTr="00124DA9">
        <w:trPr>
          <w:trHeight w:val="291"/>
          <w:jc w:val="center"/>
        </w:trPr>
        <w:tc>
          <w:tcPr>
            <w:tcW w:w="4248" w:type="dxa"/>
          </w:tcPr>
          <w:p w14:paraId="0D8776CB" w14:textId="279050C2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Tehnikas </w:t>
            </w:r>
            <w:r>
              <w:rPr>
                <w:sz w:val="22"/>
                <w:szCs w:val="22"/>
              </w:rPr>
              <w:t xml:space="preserve">pārvietošanas </w:t>
            </w:r>
            <w:r w:rsidRPr="008977AC">
              <w:rPr>
                <w:sz w:val="22"/>
                <w:szCs w:val="22"/>
              </w:rPr>
              <w:t xml:space="preserve">attāluma intervāli, km </w:t>
            </w:r>
          </w:p>
        </w:tc>
        <w:tc>
          <w:tcPr>
            <w:tcW w:w="1276" w:type="dxa"/>
          </w:tcPr>
          <w:p w14:paraId="20E4F3B5" w14:textId="6FC8DFC4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Koeficients </w:t>
            </w:r>
          </w:p>
        </w:tc>
      </w:tr>
      <w:tr w:rsidR="00EE400A" w:rsidRPr="00C608BC" w14:paraId="1BB786D7" w14:textId="77777777" w:rsidTr="00EE400A">
        <w:trPr>
          <w:trHeight w:val="269"/>
          <w:jc w:val="center"/>
        </w:trPr>
        <w:tc>
          <w:tcPr>
            <w:tcW w:w="4248" w:type="dxa"/>
          </w:tcPr>
          <w:p w14:paraId="6EFE215E" w14:textId="77777777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&lt;1</w:t>
            </w:r>
          </w:p>
        </w:tc>
        <w:tc>
          <w:tcPr>
            <w:tcW w:w="1276" w:type="dxa"/>
          </w:tcPr>
          <w:p w14:paraId="26530DA8" w14:textId="77777777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0</w:t>
            </w:r>
          </w:p>
        </w:tc>
      </w:tr>
      <w:tr w:rsidR="00EE400A" w:rsidRPr="00C608BC" w14:paraId="50635463" w14:textId="77777777" w:rsidTr="00EE400A">
        <w:trPr>
          <w:trHeight w:val="90"/>
          <w:jc w:val="center"/>
        </w:trPr>
        <w:tc>
          <w:tcPr>
            <w:tcW w:w="4248" w:type="dxa"/>
          </w:tcPr>
          <w:p w14:paraId="6ABCB155" w14:textId="40EFFC08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(1</w:t>
            </w:r>
            <w:r w:rsidRPr="008977AC">
              <w:rPr>
                <w:sz w:val="22"/>
                <w:szCs w:val="22"/>
              </w:rPr>
              <w:t>001</w:t>
            </w:r>
            <w:r>
              <w:rPr>
                <w:sz w:val="22"/>
                <w:szCs w:val="22"/>
              </w:rPr>
              <w:t>m</w:t>
            </w:r>
            <w:r w:rsidRPr="008977AC">
              <w:rPr>
                <w:sz w:val="22"/>
                <w:szCs w:val="22"/>
              </w:rPr>
              <w:t xml:space="preserve"> – 1499</w:t>
            </w:r>
            <w:r>
              <w:rPr>
                <w:sz w:val="22"/>
                <w:szCs w:val="22"/>
              </w:rPr>
              <w:t>m)</w:t>
            </w:r>
            <w:r w:rsidRPr="008977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63EBF1CD" w14:textId="1E87EE11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1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>0</w:t>
            </w:r>
          </w:p>
        </w:tc>
      </w:tr>
      <w:tr w:rsidR="00EE400A" w:rsidRPr="00C608BC" w14:paraId="73C01768" w14:textId="77777777" w:rsidTr="00EE400A">
        <w:trPr>
          <w:trHeight w:val="90"/>
          <w:jc w:val="center"/>
        </w:trPr>
        <w:tc>
          <w:tcPr>
            <w:tcW w:w="4248" w:type="dxa"/>
          </w:tcPr>
          <w:p w14:paraId="0DA9493D" w14:textId="5CF9D4F4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 2-7 (1500</w:t>
            </w:r>
            <w:r>
              <w:rPr>
                <w:sz w:val="22"/>
                <w:szCs w:val="22"/>
              </w:rPr>
              <w:t xml:space="preserve">m – </w:t>
            </w:r>
            <w:r w:rsidRPr="008977AC">
              <w:rPr>
                <w:sz w:val="22"/>
                <w:szCs w:val="22"/>
              </w:rPr>
              <w:t>7499</w:t>
            </w:r>
            <w:r>
              <w:rPr>
                <w:sz w:val="22"/>
                <w:szCs w:val="22"/>
              </w:rPr>
              <w:t>m</w:t>
            </w:r>
            <w:r w:rsidRPr="008977AC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326B5286" w14:textId="271C9EF3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2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>1</w:t>
            </w:r>
          </w:p>
        </w:tc>
      </w:tr>
      <w:tr w:rsidR="00EE400A" w:rsidRPr="00C608BC" w14:paraId="5267604E" w14:textId="77777777" w:rsidTr="00EE400A">
        <w:trPr>
          <w:trHeight w:val="90"/>
          <w:jc w:val="center"/>
        </w:trPr>
        <w:tc>
          <w:tcPr>
            <w:tcW w:w="4248" w:type="dxa"/>
          </w:tcPr>
          <w:p w14:paraId="2B4EF1F6" w14:textId="5734FF1A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 8-20 (7500</w:t>
            </w:r>
            <w:r>
              <w:rPr>
                <w:sz w:val="22"/>
                <w:szCs w:val="22"/>
              </w:rPr>
              <w:t xml:space="preserve">m – </w:t>
            </w:r>
            <w:r w:rsidRPr="008977AC">
              <w:rPr>
                <w:sz w:val="22"/>
                <w:szCs w:val="22"/>
              </w:rPr>
              <w:t>20499</w:t>
            </w:r>
            <w:r>
              <w:rPr>
                <w:sz w:val="22"/>
                <w:szCs w:val="22"/>
              </w:rPr>
              <w:t>m</w:t>
            </w:r>
            <w:r w:rsidRPr="008977AC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0EA5238A" w14:textId="03557C46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2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2 </w:t>
            </w:r>
          </w:p>
        </w:tc>
      </w:tr>
      <w:tr w:rsidR="00EE400A" w:rsidRPr="00C608BC" w14:paraId="07C41C2F" w14:textId="77777777" w:rsidTr="00EE400A">
        <w:trPr>
          <w:trHeight w:val="90"/>
          <w:jc w:val="center"/>
        </w:trPr>
        <w:tc>
          <w:tcPr>
            <w:tcW w:w="4248" w:type="dxa"/>
          </w:tcPr>
          <w:p w14:paraId="62E66407" w14:textId="77777777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21-30 </w:t>
            </w:r>
          </w:p>
        </w:tc>
        <w:tc>
          <w:tcPr>
            <w:tcW w:w="1276" w:type="dxa"/>
          </w:tcPr>
          <w:p w14:paraId="3B985CA0" w14:textId="61C1D594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2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3 </w:t>
            </w:r>
          </w:p>
        </w:tc>
      </w:tr>
      <w:tr w:rsidR="00EE400A" w:rsidRPr="00C608BC" w14:paraId="01F265AB" w14:textId="77777777" w:rsidTr="00EE400A">
        <w:trPr>
          <w:trHeight w:val="90"/>
          <w:jc w:val="center"/>
        </w:trPr>
        <w:tc>
          <w:tcPr>
            <w:tcW w:w="4248" w:type="dxa"/>
          </w:tcPr>
          <w:p w14:paraId="0979DE57" w14:textId="77777777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31-40 </w:t>
            </w:r>
          </w:p>
        </w:tc>
        <w:tc>
          <w:tcPr>
            <w:tcW w:w="1276" w:type="dxa"/>
          </w:tcPr>
          <w:p w14:paraId="235369FA" w14:textId="719505C0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2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4 </w:t>
            </w:r>
          </w:p>
        </w:tc>
      </w:tr>
      <w:tr w:rsidR="00EE400A" w:rsidRPr="00C608BC" w14:paraId="7E366CD9" w14:textId="77777777" w:rsidTr="00EE400A">
        <w:trPr>
          <w:trHeight w:val="90"/>
          <w:jc w:val="center"/>
        </w:trPr>
        <w:tc>
          <w:tcPr>
            <w:tcW w:w="4248" w:type="dxa"/>
          </w:tcPr>
          <w:p w14:paraId="4B330BCA" w14:textId="77777777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lastRenderedPageBreak/>
              <w:t xml:space="preserve">41-50 </w:t>
            </w:r>
          </w:p>
        </w:tc>
        <w:tc>
          <w:tcPr>
            <w:tcW w:w="1276" w:type="dxa"/>
          </w:tcPr>
          <w:p w14:paraId="005826D8" w14:textId="1B4AD502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2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6 </w:t>
            </w:r>
          </w:p>
        </w:tc>
      </w:tr>
      <w:tr w:rsidR="00EE400A" w:rsidRPr="00C608BC" w14:paraId="2D4CF6A8" w14:textId="77777777" w:rsidTr="00EE400A">
        <w:trPr>
          <w:trHeight w:val="90"/>
          <w:jc w:val="center"/>
        </w:trPr>
        <w:tc>
          <w:tcPr>
            <w:tcW w:w="4248" w:type="dxa"/>
          </w:tcPr>
          <w:p w14:paraId="08FABF17" w14:textId="77777777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51-60 </w:t>
            </w:r>
          </w:p>
        </w:tc>
        <w:tc>
          <w:tcPr>
            <w:tcW w:w="1276" w:type="dxa"/>
          </w:tcPr>
          <w:p w14:paraId="16818B62" w14:textId="78F1A9F8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2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7 </w:t>
            </w:r>
          </w:p>
        </w:tc>
      </w:tr>
      <w:tr w:rsidR="00EE400A" w:rsidRPr="00C608BC" w14:paraId="13F3F9D7" w14:textId="77777777" w:rsidTr="00EE400A">
        <w:trPr>
          <w:trHeight w:val="90"/>
          <w:jc w:val="center"/>
        </w:trPr>
        <w:tc>
          <w:tcPr>
            <w:tcW w:w="4248" w:type="dxa"/>
          </w:tcPr>
          <w:p w14:paraId="7C9F6921" w14:textId="77777777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61-70 </w:t>
            </w:r>
          </w:p>
        </w:tc>
        <w:tc>
          <w:tcPr>
            <w:tcW w:w="1276" w:type="dxa"/>
          </w:tcPr>
          <w:p w14:paraId="0A910D57" w14:textId="61F10C4F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2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8 </w:t>
            </w:r>
          </w:p>
        </w:tc>
      </w:tr>
      <w:tr w:rsidR="00EE400A" w:rsidRPr="00C608BC" w14:paraId="5FB47E49" w14:textId="77777777" w:rsidTr="00EE400A">
        <w:trPr>
          <w:trHeight w:val="90"/>
          <w:jc w:val="center"/>
        </w:trPr>
        <w:tc>
          <w:tcPr>
            <w:tcW w:w="4248" w:type="dxa"/>
          </w:tcPr>
          <w:p w14:paraId="11C47BC9" w14:textId="77777777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71-80 </w:t>
            </w:r>
          </w:p>
        </w:tc>
        <w:tc>
          <w:tcPr>
            <w:tcW w:w="1276" w:type="dxa"/>
          </w:tcPr>
          <w:p w14:paraId="39CD76DB" w14:textId="6D88B99B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3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0 </w:t>
            </w:r>
          </w:p>
        </w:tc>
      </w:tr>
      <w:tr w:rsidR="00EE400A" w:rsidRPr="00C608BC" w14:paraId="102BE628" w14:textId="77777777" w:rsidTr="00EE400A">
        <w:trPr>
          <w:trHeight w:val="90"/>
          <w:jc w:val="center"/>
        </w:trPr>
        <w:tc>
          <w:tcPr>
            <w:tcW w:w="4248" w:type="dxa"/>
          </w:tcPr>
          <w:p w14:paraId="2A5DA9FC" w14:textId="77777777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81-90 </w:t>
            </w:r>
          </w:p>
        </w:tc>
        <w:tc>
          <w:tcPr>
            <w:tcW w:w="1276" w:type="dxa"/>
          </w:tcPr>
          <w:p w14:paraId="664EFEDD" w14:textId="4B057DB0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3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1 </w:t>
            </w:r>
          </w:p>
        </w:tc>
      </w:tr>
      <w:tr w:rsidR="00EE400A" w:rsidRPr="00C608BC" w14:paraId="3C18AD06" w14:textId="77777777" w:rsidTr="00EE400A">
        <w:trPr>
          <w:trHeight w:val="90"/>
          <w:jc w:val="center"/>
        </w:trPr>
        <w:tc>
          <w:tcPr>
            <w:tcW w:w="4248" w:type="dxa"/>
          </w:tcPr>
          <w:p w14:paraId="7F294BFE" w14:textId="77777777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91-100 </w:t>
            </w:r>
          </w:p>
        </w:tc>
        <w:tc>
          <w:tcPr>
            <w:tcW w:w="1276" w:type="dxa"/>
          </w:tcPr>
          <w:p w14:paraId="6E5549B4" w14:textId="03501445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3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3 </w:t>
            </w:r>
          </w:p>
        </w:tc>
      </w:tr>
      <w:tr w:rsidR="00EE400A" w:rsidRPr="00C608BC" w14:paraId="7EB23A53" w14:textId="77777777" w:rsidTr="00EE400A">
        <w:trPr>
          <w:trHeight w:val="90"/>
          <w:jc w:val="center"/>
        </w:trPr>
        <w:tc>
          <w:tcPr>
            <w:tcW w:w="4248" w:type="dxa"/>
          </w:tcPr>
          <w:p w14:paraId="19B28A56" w14:textId="77777777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101-110 </w:t>
            </w:r>
          </w:p>
        </w:tc>
        <w:tc>
          <w:tcPr>
            <w:tcW w:w="1276" w:type="dxa"/>
          </w:tcPr>
          <w:p w14:paraId="7171BFD5" w14:textId="023B60B3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3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4 </w:t>
            </w:r>
          </w:p>
        </w:tc>
      </w:tr>
      <w:tr w:rsidR="00EE400A" w:rsidRPr="00C608BC" w14:paraId="433D875E" w14:textId="77777777" w:rsidTr="00EE400A">
        <w:trPr>
          <w:trHeight w:val="90"/>
          <w:jc w:val="center"/>
        </w:trPr>
        <w:tc>
          <w:tcPr>
            <w:tcW w:w="4248" w:type="dxa"/>
          </w:tcPr>
          <w:p w14:paraId="16747ADD" w14:textId="77777777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111-120 </w:t>
            </w:r>
          </w:p>
        </w:tc>
        <w:tc>
          <w:tcPr>
            <w:tcW w:w="1276" w:type="dxa"/>
          </w:tcPr>
          <w:p w14:paraId="0D9A3BBE" w14:textId="0EDDDD85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3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5 </w:t>
            </w:r>
          </w:p>
        </w:tc>
      </w:tr>
      <w:tr w:rsidR="00EE400A" w:rsidRPr="00C608BC" w14:paraId="52784C46" w14:textId="77777777" w:rsidTr="00EE400A">
        <w:trPr>
          <w:trHeight w:val="90"/>
          <w:jc w:val="center"/>
        </w:trPr>
        <w:tc>
          <w:tcPr>
            <w:tcW w:w="4248" w:type="dxa"/>
          </w:tcPr>
          <w:p w14:paraId="2A7F0BD9" w14:textId="77777777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121-130 </w:t>
            </w:r>
          </w:p>
        </w:tc>
        <w:tc>
          <w:tcPr>
            <w:tcW w:w="1276" w:type="dxa"/>
          </w:tcPr>
          <w:p w14:paraId="66F6507B" w14:textId="2BF64083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3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7 </w:t>
            </w:r>
          </w:p>
        </w:tc>
      </w:tr>
      <w:tr w:rsidR="00EE400A" w:rsidRPr="00C608BC" w14:paraId="0F7FA4F7" w14:textId="77777777" w:rsidTr="00EE400A">
        <w:trPr>
          <w:trHeight w:val="90"/>
          <w:jc w:val="center"/>
        </w:trPr>
        <w:tc>
          <w:tcPr>
            <w:tcW w:w="4248" w:type="dxa"/>
          </w:tcPr>
          <w:p w14:paraId="6C12EB2D" w14:textId="77777777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131-140 </w:t>
            </w:r>
          </w:p>
        </w:tc>
        <w:tc>
          <w:tcPr>
            <w:tcW w:w="1276" w:type="dxa"/>
          </w:tcPr>
          <w:p w14:paraId="2CD4FDB5" w14:textId="55D629E5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3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8 </w:t>
            </w:r>
          </w:p>
        </w:tc>
      </w:tr>
      <w:tr w:rsidR="00EE400A" w:rsidRPr="00C608BC" w14:paraId="60CE7226" w14:textId="77777777" w:rsidTr="00EE400A">
        <w:trPr>
          <w:trHeight w:val="90"/>
          <w:jc w:val="center"/>
        </w:trPr>
        <w:tc>
          <w:tcPr>
            <w:tcW w:w="4248" w:type="dxa"/>
          </w:tcPr>
          <w:p w14:paraId="2EE85566" w14:textId="77777777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141-150 </w:t>
            </w:r>
          </w:p>
        </w:tc>
        <w:tc>
          <w:tcPr>
            <w:tcW w:w="1276" w:type="dxa"/>
          </w:tcPr>
          <w:p w14:paraId="2220F057" w14:textId="175C2DC8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4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0 </w:t>
            </w:r>
          </w:p>
        </w:tc>
      </w:tr>
      <w:tr w:rsidR="00EE400A" w:rsidRPr="00C608BC" w14:paraId="622BD15C" w14:textId="77777777" w:rsidTr="00EE400A">
        <w:trPr>
          <w:trHeight w:val="90"/>
          <w:jc w:val="center"/>
        </w:trPr>
        <w:tc>
          <w:tcPr>
            <w:tcW w:w="4248" w:type="dxa"/>
          </w:tcPr>
          <w:p w14:paraId="6AFE0C6B" w14:textId="77777777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151-160 </w:t>
            </w:r>
          </w:p>
        </w:tc>
        <w:tc>
          <w:tcPr>
            <w:tcW w:w="1276" w:type="dxa"/>
          </w:tcPr>
          <w:p w14:paraId="2F2F654D" w14:textId="4B13C896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4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1 </w:t>
            </w:r>
          </w:p>
        </w:tc>
      </w:tr>
      <w:tr w:rsidR="00EE400A" w:rsidRPr="00C608BC" w14:paraId="6E933FFB" w14:textId="77777777" w:rsidTr="00EE400A">
        <w:trPr>
          <w:trHeight w:val="90"/>
          <w:jc w:val="center"/>
        </w:trPr>
        <w:tc>
          <w:tcPr>
            <w:tcW w:w="4248" w:type="dxa"/>
          </w:tcPr>
          <w:p w14:paraId="460B9ECC" w14:textId="77777777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161-170 </w:t>
            </w:r>
          </w:p>
        </w:tc>
        <w:tc>
          <w:tcPr>
            <w:tcW w:w="1276" w:type="dxa"/>
          </w:tcPr>
          <w:p w14:paraId="46D7D2EC" w14:textId="7B211457" w:rsidR="00EE400A" w:rsidRPr="008977AC" w:rsidRDefault="00EE400A" w:rsidP="008977AC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4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2 </w:t>
            </w:r>
          </w:p>
        </w:tc>
      </w:tr>
      <w:tr w:rsidR="00EE400A" w:rsidRPr="00C608BC" w14:paraId="3093A9B6" w14:textId="77777777" w:rsidTr="00EE400A">
        <w:trPr>
          <w:trHeight w:val="90"/>
          <w:jc w:val="center"/>
        </w:trPr>
        <w:tc>
          <w:tcPr>
            <w:tcW w:w="4248" w:type="dxa"/>
          </w:tcPr>
          <w:p w14:paraId="21974DB3" w14:textId="17ADDC0B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384B80">
              <w:rPr>
                <w:sz w:val="22"/>
                <w:szCs w:val="22"/>
              </w:rPr>
              <w:t xml:space="preserve">171-180 </w:t>
            </w:r>
          </w:p>
        </w:tc>
        <w:tc>
          <w:tcPr>
            <w:tcW w:w="1276" w:type="dxa"/>
          </w:tcPr>
          <w:p w14:paraId="448C9A54" w14:textId="54BC9B11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384B80">
              <w:rPr>
                <w:sz w:val="22"/>
                <w:szCs w:val="22"/>
              </w:rPr>
              <w:t>4</w:t>
            </w:r>
            <w:r w:rsidR="00BF2A38">
              <w:rPr>
                <w:sz w:val="22"/>
                <w:szCs w:val="22"/>
              </w:rPr>
              <w:t>,</w:t>
            </w:r>
            <w:r w:rsidRPr="00384B80">
              <w:rPr>
                <w:sz w:val="22"/>
                <w:szCs w:val="22"/>
              </w:rPr>
              <w:t>4</w:t>
            </w:r>
          </w:p>
        </w:tc>
      </w:tr>
      <w:tr w:rsidR="00EE400A" w:rsidRPr="00C608BC" w14:paraId="510A2E5D" w14:textId="77777777" w:rsidTr="00EE400A">
        <w:trPr>
          <w:trHeight w:val="90"/>
          <w:jc w:val="center"/>
        </w:trPr>
        <w:tc>
          <w:tcPr>
            <w:tcW w:w="4248" w:type="dxa"/>
          </w:tcPr>
          <w:p w14:paraId="1ABE282E" w14:textId="2B9AD50A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181-190 </w:t>
            </w:r>
          </w:p>
        </w:tc>
        <w:tc>
          <w:tcPr>
            <w:tcW w:w="1276" w:type="dxa"/>
          </w:tcPr>
          <w:p w14:paraId="0C1820DD" w14:textId="26A6F119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4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5 </w:t>
            </w:r>
          </w:p>
        </w:tc>
      </w:tr>
      <w:tr w:rsidR="00EE400A" w:rsidRPr="00C608BC" w14:paraId="505B0FDD" w14:textId="77777777" w:rsidTr="00EE400A">
        <w:trPr>
          <w:trHeight w:val="90"/>
          <w:jc w:val="center"/>
        </w:trPr>
        <w:tc>
          <w:tcPr>
            <w:tcW w:w="4248" w:type="dxa"/>
          </w:tcPr>
          <w:p w14:paraId="46F46E29" w14:textId="043E6996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191-200 </w:t>
            </w:r>
          </w:p>
        </w:tc>
        <w:tc>
          <w:tcPr>
            <w:tcW w:w="1276" w:type="dxa"/>
          </w:tcPr>
          <w:p w14:paraId="2A32FF4D" w14:textId="3B1AF906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4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7 </w:t>
            </w:r>
          </w:p>
        </w:tc>
      </w:tr>
      <w:tr w:rsidR="00EE400A" w:rsidRPr="00C608BC" w14:paraId="15D33122" w14:textId="77777777" w:rsidTr="00EE400A">
        <w:trPr>
          <w:trHeight w:val="90"/>
          <w:jc w:val="center"/>
        </w:trPr>
        <w:tc>
          <w:tcPr>
            <w:tcW w:w="4248" w:type="dxa"/>
          </w:tcPr>
          <w:p w14:paraId="72E6DB30" w14:textId="6E524F98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201-210 </w:t>
            </w:r>
          </w:p>
        </w:tc>
        <w:tc>
          <w:tcPr>
            <w:tcW w:w="1276" w:type="dxa"/>
          </w:tcPr>
          <w:p w14:paraId="1D73C5F6" w14:textId="142CBFDE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4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8 </w:t>
            </w:r>
          </w:p>
        </w:tc>
      </w:tr>
      <w:tr w:rsidR="00EE400A" w:rsidRPr="00C608BC" w14:paraId="49599DF1" w14:textId="77777777" w:rsidTr="00EE400A">
        <w:trPr>
          <w:trHeight w:val="90"/>
          <w:jc w:val="center"/>
        </w:trPr>
        <w:tc>
          <w:tcPr>
            <w:tcW w:w="4248" w:type="dxa"/>
          </w:tcPr>
          <w:p w14:paraId="62B5BE3D" w14:textId="15B9CB1D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211-220 </w:t>
            </w:r>
          </w:p>
        </w:tc>
        <w:tc>
          <w:tcPr>
            <w:tcW w:w="1276" w:type="dxa"/>
          </w:tcPr>
          <w:p w14:paraId="71500964" w14:textId="31B649E6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4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9 </w:t>
            </w:r>
          </w:p>
        </w:tc>
      </w:tr>
      <w:tr w:rsidR="00EE400A" w:rsidRPr="00C608BC" w14:paraId="350219DE" w14:textId="77777777" w:rsidTr="00EE400A">
        <w:trPr>
          <w:trHeight w:val="90"/>
          <w:jc w:val="center"/>
        </w:trPr>
        <w:tc>
          <w:tcPr>
            <w:tcW w:w="4248" w:type="dxa"/>
          </w:tcPr>
          <w:p w14:paraId="69076A53" w14:textId="2592719A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221-230 </w:t>
            </w:r>
          </w:p>
        </w:tc>
        <w:tc>
          <w:tcPr>
            <w:tcW w:w="1276" w:type="dxa"/>
          </w:tcPr>
          <w:p w14:paraId="5C86E47E" w14:textId="10F8592A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5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1 </w:t>
            </w:r>
          </w:p>
        </w:tc>
      </w:tr>
      <w:tr w:rsidR="00EE400A" w:rsidRPr="00C608BC" w14:paraId="609BDEDB" w14:textId="77777777" w:rsidTr="00EE400A">
        <w:trPr>
          <w:trHeight w:val="90"/>
          <w:jc w:val="center"/>
        </w:trPr>
        <w:tc>
          <w:tcPr>
            <w:tcW w:w="4248" w:type="dxa"/>
          </w:tcPr>
          <w:p w14:paraId="26E6E70F" w14:textId="35D404F7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231-240 </w:t>
            </w:r>
          </w:p>
        </w:tc>
        <w:tc>
          <w:tcPr>
            <w:tcW w:w="1276" w:type="dxa"/>
          </w:tcPr>
          <w:p w14:paraId="033AEF2A" w14:textId="57B256BE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5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2 </w:t>
            </w:r>
          </w:p>
        </w:tc>
      </w:tr>
      <w:tr w:rsidR="00EE400A" w:rsidRPr="00C608BC" w14:paraId="4EDBF159" w14:textId="77777777" w:rsidTr="00EE400A">
        <w:trPr>
          <w:trHeight w:val="90"/>
          <w:jc w:val="center"/>
        </w:trPr>
        <w:tc>
          <w:tcPr>
            <w:tcW w:w="4248" w:type="dxa"/>
          </w:tcPr>
          <w:p w14:paraId="2B3B7AEA" w14:textId="265A03AA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241-250 </w:t>
            </w:r>
          </w:p>
        </w:tc>
        <w:tc>
          <w:tcPr>
            <w:tcW w:w="1276" w:type="dxa"/>
          </w:tcPr>
          <w:p w14:paraId="23E72A31" w14:textId="4ADD3493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5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3 </w:t>
            </w:r>
          </w:p>
        </w:tc>
      </w:tr>
      <w:tr w:rsidR="00EE400A" w:rsidRPr="00C608BC" w14:paraId="3C062C5A" w14:textId="77777777" w:rsidTr="00EE400A">
        <w:trPr>
          <w:trHeight w:val="90"/>
          <w:jc w:val="center"/>
        </w:trPr>
        <w:tc>
          <w:tcPr>
            <w:tcW w:w="4248" w:type="dxa"/>
          </w:tcPr>
          <w:p w14:paraId="59E49D3D" w14:textId="756ACB14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251-260 </w:t>
            </w:r>
          </w:p>
        </w:tc>
        <w:tc>
          <w:tcPr>
            <w:tcW w:w="1276" w:type="dxa"/>
          </w:tcPr>
          <w:p w14:paraId="32710042" w14:textId="0A530981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5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5 </w:t>
            </w:r>
          </w:p>
        </w:tc>
      </w:tr>
      <w:tr w:rsidR="00EE400A" w:rsidRPr="00C608BC" w14:paraId="1C171BB5" w14:textId="77777777" w:rsidTr="00EE400A">
        <w:trPr>
          <w:trHeight w:val="90"/>
          <w:jc w:val="center"/>
        </w:trPr>
        <w:tc>
          <w:tcPr>
            <w:tcW w:w="4248" w:type="dxa"/>
          </w:tcPr>
          <w:p w14:paraId="635F619E" w14:textId="4E610941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261-270 </w:t>
            </w:r>
          </w:p>
        </w:tc>
        <w:tc>
          <w:tcPr>
            <w:tcW w:w="1276" w:type="dxa"/>
          </w:tcPr>
          <w:p w14:paraId="5D30DCF6" w14:textId="58B7FDC6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5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6 </w:t>
            </w:r>
          </w:p>
        </w:tc>
      </w:tr>
      <w:tr w:rsidR="00EE400A" w:rsidRPr="00C608BC" w14:paraId="1847C45B" w14:textId="77777777" w:rsidTr="00EE400A">
        <w:trPr>
          <w:trHeight w:val="90"/>
          <w:jc w:val="center"/>
        </w:trPr>
        <w:tc>
          <w:tcPr>
            <w:tcW w:w="4248" w:type="dxa"/>
          </w:tcPr>
          <w:p w14:paraId="333EE012" w14:textId="26980F5F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271-280 </w:t>
            </w:r>
          </w:p>
        </w:tc>
        <w:tc>
          <w:tcPr>
            <w:tcW w:w="1276" w:type="dxa"/>
          </w:tcPr>
          <w:p w14:paraId="0E26F35A" w14:textId="0C4E3996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5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8 </w:t>
            </w:r>
          </w:p>
        </w:tc>
      </w:tr>
      <w:tr w:rsidR="00EE400A" w:rsidRPr="00C608BC" w14:paraId="6E9DE0FE" w14:textId="77777777" w:rsidTr="00EE400A">
        <w:trPr>
          <w:trHeight w:val="90"/>
          <w:jc w:val="center"/>
        </w:trPr>
        <w:tc>
          <w:tcPr>
            <w:tcW w:w="4248" w:type="dxa"/>
          </w:tcPr>
          <w:p w14:paraId="79109824" w14:textId="7FE6B7A5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281-290 </w:t>
            </w:r>
          </w:p>
        </w:tc>
        <w:tc>
          <w:tcPr>
            <w:tcW w:w="1276" w:type="dxa"/>
          </w:tcPr>
          <w:p w14:paraId="0CA9A2E7" w14:textId="1E32EC45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5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9 </w:t>
            </w:r>
          </w:p>
        </w:tc>
      </w:tr>
      <w:tr w:rsidR="00EE400A" w:rsidRPr="00C608BC" w14:paraId="33017694" w14:textId="77777777" w:rsidTr="00EE400A">
        <w:trPr>
          <w:trHeight w:val="90"/>
          <w:jc w:val="center"/>
        </w:trPr>
        <w:tc>
          <w:tcPr>
            <w:tcW w:w="4248" w:type="dxa"/>
          </w:tcPr>
          <w:p w14:paraId="20CA1B77" w14:textId="5DA906E8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291-300 </w:t>
            </w:r>
          </w:p>
        </w:tc>
        <w:tc>
          <w:tcPr>
            <w:tcW w:w="1276" w:type="dxa"/>
          </w:tcPr>
          <w:p w14:paraId="048C73F5" w14:textId="441BE72A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6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0 </w:t>
            </w:r>
          </w:p>
        </w:tc>
      </w:tr>
      <w:tr w:rsidR="00EE400A" w:rsidRPr="00C608BC" w14:paraId="7A25082A" w14:textId="77777777" w:rsidTr="00EE400A">
        <w:trPr>
          <w:trHeight w:val="90"/>
          <w:jc w:val="center"/>
        </w:trPr>
        <w:tc>
          <w:tcPr>
            <w:tcW w:w="4248" w:type="dxa"/>
          </w:tcPr>
          <w:p w14:paraId="7E0A0F09" w14:textId="5EC0FBB6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301-310 </w:t>
            </w:r>
          </w:p>
        </w:tc>
        <w:tc>
          <w:tcPr>
            <w:tcW w:w="1276" w:type="dxa"/>
          </w:tcPr>
          <w:p w14:paraId="62EFBF48" w14:textId="32B1BAE1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6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2 </w:t>
            </w:r>
          </w:p>
        </w:tc>
      </w:tr>
      <w:tr w:rsidR="00EE400A" w:rsidRPr="00C608BC" w14:paraId="66376A77" w14:textId="77777777" w:rsidTr="00EE400A">
        <w:trPr>
          <w:trHeight w:val="90"/>
          <w:jc w:val="center"/>
        </w:trPr>
        <w:tc>
          <w:tcPr>
            <w:tcW w:w="4248" w:type="dxa"/>
          </w:tcPr>
          <w:p w14:paraId="31E9A5FF" w14:textId="11E236CA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311-320 </w:t>
            </w:r>
          </w:p>
        </w:tc>
        <w:tc>
          <w:tcPr>
            <w:tcW w:w="1276" w:type="dxa"/>
          </w:tcPr>
          <w:p w14:paraId="6B91FE54" w14:textId="2CA4CB22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6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3 </w:t>
            </w:r>
          </w:p>
        </w:tc>
      </w:tr>
      <w:tr w:rsidR="00EE400A" w:rsidRPr="00C608BC" w14:paraId="24BBE880" w14:textId="77777777" w:rsidTr="00EE400A">
        <w:trPr>
          <w:trHeight w:val="90"/>
          <w:jc w:val="center"/>
        </w:trPr>
        <w:tc>
          <w:tcPr>
            <w:tcW w:w="4248" w:type="dxa"/>
          </w:tcPr>
          <w:p w14:paraId="7A17714F" w14:textId="33954AC1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321-330 </w:t>
            </w:r>
          </w:p>
        </w:tc>
        <w:tc>
          <w:tcPr>
            <w:tcW w:w="1276" w:type="dxa"/>
          </w:tcPr>
          <w:p w14:paraId="7062D73C" w14:textId="420A6D0C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6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5 </w:t>
            </w:r>
          </w:p>
        </w:tc>
      </w:tr>
      <w:tr w:rsidR="00EE400A" w:rsidRPr="00C608BC" w14:paraId="0E100897" w14:textId="77777777" w:rsidTr="00EE400A">
        <w:trPr>
          <w:trHeight w:val="90"/>
          <w:jc w:val="center"/>
        </w:trPr>
        <w:tc>
          <w:tcPr>
            <w:tcW w:w="4248" w:type="dxa"/>
          </w:tcPr>
          <w:p w14:paraId="3CB666DF" w14:textId="1AA5EB1E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331-340 </w:t>
            </w:r>
          </w:p>
        </w:tc>
        <w:tc>
          <w:tcPr>
            <w:tcW w:w="1276" w:type="dxa"/>
          </w:tcPr>
          <w:p w14:paraId="3C9540A5" w14:textId="7D8AC3FC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6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6 </w:t>
            </w:r>
          </w:p>
        </w:tc>
      </w:tr>
      <w:tr w:rsidR="00EE400A" w:rsidRPr="00C608BC" w14:paraId="324B9A26" w14:textId="77777777" w:rsidTr="00EE400A">
        <w:trPr>
          <w:trHeight w:val="90"/>
          <w:jc w:val="center"/>
        </w:trPr>
        <w:tc>
          <w:tcPr>
            <w:tcW w:w="4248" w:type="dxa"/>
          </w:tcPr>
          <w:p w14:paraId="1977AEA8" w14:textId="3E798251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341-350 </w:t>
            </w:r>
          </w:p>
        </w:tc>
        <w:tc>
          <w:tcPr>
            <w:tcW w:w="1276" w:type="dxa"/>
          </w:tcPr>
          <w:p w14:paraId="1F742199" w14:textId="0898B0EE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>6</w:t>
            </w:r>
            <w:r w:rsidR="00BF2A38">
              <w:rPr>
                <w:sz w:val="22"/>
                <w:szCs w:val="22"/>
              </w:rPr>
              <w:t>,</w:t>
            </w:r>
            <w:r w:rsidRPr="008977AC">
              <w:rPr>
                <w:sz w:val="22"/>
                <w:szCs w:val="22"/>
              </w:rPr>
              <w:t xml:space="preserve">7 </w:t>
            </w:r>
          </w:p>
        </w:tc>
      </w:tr>
      <w:tr w:rsidR="00EE400A" w:rsidRPr="00C608BC" w14:paraId="6F78BAAA" w14:textId="77777777" w:rsidTr="00EE400A">
        <w:trPr>
          <w:trHeight w:val="90"/>
          <w:jc w:val="center"/>
        </w:trPr>
        <w:tc>
          <w:tcPr>
            <w:tcW w:w="4248" w:type="dxa"/>
          </w:tcPr>
          <w:p w14:paraId="4FF17643" w14:textId="65F80174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 w:rsidRPr="008977AC">
              <w:rPr>
                <w:sz w:val="22"/>
                <w:szCs w:val="22"/>
              </w:rPr>
              <w:t xml:space="preserve">351 un vairāk </w:t>
            </w:r>
          </w:p>
        </w:tc>
        <w:tc>
          <w:tcPr>
            <w:tcW w:w="1276" w:type="dxa"/>
          </w:tcPr>
          <w:p w14:paraId="7D52CF83" w14:textId="720131C4" w:rsidR="00EE400A" w:rsidRPr="008977AC" w:rsidRDefault="00EE400A" w:rsidP="00EE40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F2A3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</w:tbl>
    <w:p w14:paraId="6228B7B8" w14:textId="77777777" w:rsidR="00F7037A" w:rsidRPr="00C608BC" w:rsidRDefault="00F7037A" w:rsidP="008977AC">
      <w:pPr>
        <w:pStyle w:val="Default"/>
        <w:spacing w:after="19"/>
        <w:jc w:val="both"/>
        <w:rPr>
          <w:color w:val="auto"/>
          <w:sz w:val="22"/>
          <w:szCs w:val="22"/>
        </w:rPr>
      </w:pPr>
    </w:p>
    <w:p w14:paraId="3E1E6351" w14:textId="4B6DED56" w:rsidR="00894F77" w:rsidRDefault="001D1C18" w:rsidP="001D1C18">
      <w:pPr>
        <w:pStyle w:val="BodyText"/>
        <w:numPr>
          <w:ilvl w:val="0"/>
          <w:numId w:val="6"/>
        </w:numPr>
        <w:autoSpaceDE w:val="0"/>
        <w:autoSpaceDN w:val="0"/>
        <w:adjustRightInd w:val="0"/>
        <w:spacing w:after="19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Pasūtītājs </w:t>
      </w:r>
      <w:r w:rsidRPr="001D1C18">
        <w:rPr>
          <w:sz w:val="22"/>
          <w:szCs w:val="22"/>
        </w:rPr>
        <w:t xml:space="preserve">Noteikumu </w:t>
      </w:r>
      <w:r>
        <w:rPr>
          <w:sz w:val="22"/>
          <w:szCs w:val="22"/>
        </w:rPr>
        <w:t>4. un 5</w:t>
      </w:r>
      <w:r w:rsidRPr="001D1C18">
        <w:rPr>
          <w:sz w:val="22"/>
          <w:szCs w:val="22"/>
        </w:rPr>
        <w:t>. punktā noteikt</w:t>
      </w:r>
      <w:r>
        <w:rPr>
          <w:sz w:val="22"/>
          <w:szCs w:val="22"/>
        </w:rPr>
        <w:t>ajā</w:t>
      </w:r>
      <w:r w:rsidRPr="001D1C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kārtībā </w:t>
      </w:r>
      <w:r w:rsidR="00193E4A">
        <w:rPr>
          <w:sz w:val="22"/>
          <w:szCs w:val="22"/>
        </w:rPr>
        <w:t xml:space="preserve">Pārvietošanas </w:t>
      </w:r>
      <w:r w:rsidRPr="001D1C18">
        <w:rPr>
          <w:sz w:val="22"/>
          <w:szCs w:val="22"/>
        </w:rPr>
        <w:t>maksu aprēķina katrai Tehnikai atsevišķi</w:t>
      </w:r>
      <w:r>
        <w:rPr>
          <w:sz w:val="22"/>
          <w:szCs w:val="22"/>
        </w:rPr>
        <w:t>,</w:t>
      </w:r>
      <w:r w:rsidRPr="001D1C18">
        <w:rPr>
          <w:sz w:val="22"/>
          <w:szCs w:val="22"/>
        </w:rPr>
        <w:t xml:space="preserve"> </w:t>
      </w:r>
      <w:r w:rsidR="00894F77" w:rsidRPr="004110D9">
        <w:rPr>
          <w:sz w:val="22"/>
          <w:szCs w:val="22"/>
        </w:rPr>
        <w:t xml:space="preserve">par katru Tehnikas </w:t>
      </w:r>
      <w:r w:rsidR="00D4431B" w:rsidRPr="004110D9">
        <w:rPr>
          <w:sz w:val="22"/>
          <w:szCs w:val="22"/>
        </w:rPr>
        <w:t>Pārvietošanas</w:t>
      </w:r>
      <w:r w:rsidR="00193E4A" w:rsidRPr="004110D9">
        <w:rPr>
          <w:sz w:val="22"/>
          <w:szCs w:val="22"/>
        </w:rPr>
        <w:t xml:space="preserve"> </w:t>
      </w:r>
      <w:r w:rsidR="00894F77" w:rsidRPr="004110D9">
        <w:rPr>
          <w:sz w:val="22"/>
          <w:szCs w:val="22"/>
        </w:rPr>
        <w:t>reizi</w:t>
      </w:r>
      <w:r w:rsidRPr="004110D9">
        <w:rPr>
          <w:sz w:val="22"/>
          <w:szCs w:val="22"/>
        </w:rPr>
        <w:t xml:space="preserve"> atsevišķi.</w:t>
      </w:r>
    </w:p>
    <w:p w14:paraId="79DE4694" w14:textId="29F9D16D" w:rsidR="001D1C18" w:rsidRDefault="001D1C18" w:rsidP="001D1C18">
      <w:pPr>
        <w:pStyle w:val="BodyText"/>
        <w:numPr>
          <w:ilvl w:val="0"/>
          <w:numId w:val="6"/>
        </w:numPr>
        <w:autoSpaceDE w:val="0"/>
        <w:autoSpaceDN w:val="0"/>
        <w:adjustRightInd w:val="0"/>
        <w:spacing w:after="19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Pasūtītājs maksā Uzņēmējam </w:t>
      </w:r>
      <w:r w:rsidR="00193E4A">
        <w:rPr>
          <w:sz w:val="22"/>
          <w:szCs w:val="22"/>
        </w:rPr>
        <w:t>Pārvietošanas</w:t>
      </w:r>
      <w:r>
        <w:rPr>
          <w:sz w:val="22"/>
          <w:szCs w:val="22"/>
        </w:rPr>
        <w:t xml:space="preserve"> maksu kopā</w:t>
      </w:r>
      <w:r w:rsidR="009F007D">
        <w:rPr>
          <w:sz w:val="22"/>
          <w:szCs w:val="22"/>
        </w:rPr>
        <w:t xml:space="preserve"> ar maksu par </w:t>
      </w:r>
      <w:r w:rsidR="00FC5798">
        <w:rPr>
          <w:sz w:val="22"/>
          <w:szCs w:val="22"/>
        </w:rPr>
        <w:t>attiecīg</w:t>
      </w:r>
      <w:r w:rsidR="001F5C36">
        <w:rPr>
          <w:sz w:val="22"/>
          <w:szCs w:val="22"/>
        </w:rPr>
        <w:t>ā</w:t>
      </w:r>
      <w:r w:rsidR="00FC5798">
        <w:rPr>
          <w:sz w:val="22"/>
          <w:szCs w:val="22"/>
        </w:rPr>
        <w:t xml:space="preserve"> </w:t>
      </w:r>
      <w:r w:rsidR="009F007D">
        <w:rPr>
          <w:sz w:val="22"/>
          <w:szCs w:val="22"/>
        </w:rPr>
        <w:t>Darb</w:t>
      </w:r>
      <w:r w:rsidR="001F5C36">
        <w:rPr>
          <w:sz w:val="22"/>
          <w:szCs w:val="22"/>
        </w:rPr>
        <w:t>a uzdevuma</w:t>
      </w:r>
      <w:r w:rsidR="00FC5798">
        <w:rPr>
          <w:sz w:val="22"/>
          <w:szCs w:val="22"/>
        </w:rPr>
        <w:t xml:space="preserve"> izpildi.</w:t>
      </w:r>
    </w:p>
    <w:p w14:paraId="6771ECA5" w14:textId="2F5E11B9" w:rsidR="00FC754D" w:rsidRPr="00592F34" w:rsidRDefault="00473BE7" w:rsidP="001D1C18">
      <w:pPr>
        <w:pStyle w:val="BodyText"/>
        <w:numPr>
          <w:ilvl w:val="0"/>
          <w:numId w:val="6"/>
        </w:numPr>
        <w:autoSpaceDE w:val="0"/>
        <w:autoSpaceDN w:val="0"/>
        <w:adjustRightInd w:val="0"/>
        <w:spacing w:after="19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Pasūtītājs Darba uzdevumā nosaka Darba izpildes secību. </w:t>
      </w:r>
      <w:r w:rsidR="00EE400A">
        <w:rPr>
          <w:sz w:val="22"/>
          <w:szCs w:val="22"/>
        </w:rPr>
        <w:t xml:space="preserve">Ja </w:t>
      </w:r>
      <w:r>
        <w:rPr>
          <w:sz w:val="22"/>
          <w:szCs w:val="22"/>
        </w:rPr>
        <w:t>Uzņēmēj</w:t>
      </w:r>
      <w:r w:rsidR="00EE400A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EE400A">
        <w:rPr>
          <w:sz w:val="22"/>
          <w:szCs w:val="22"/>
        </w:rPr>
        <w:t>ne</w:t>
      </w:r>
      <w:r>
        <w:rPr>
          <w:sz w:val="22"/>
          <w:szCs w:val="22"/>
        </w:rPr>
        <w:t>saskaņo</w:t>
      </w:r>
      <w:r w:rsidR="001B40DC">
        <w:rPr>
          <w:sz w:val="22"/>
          <w:szCs w:val="22"/>
        </w:rPr>
        <w:t xml:space="preserve"> ar Pasūtītāju</w:t>
      </w:r>
      <w:r>
        <w:rPr>
          <w:sz w:val="22"/>
          <w:szCs w:val="22"/>
        </w:rPr>
        <w:t xml:space="preserve"> </w:t>
      </w:r>
      <w:r w:rsidR="00AC381B">
        <w:rPr>
          <w:sz w:val="22"/>
          <w:szCs w:val="22"/>
        </w:rPr>
        <w:t xml:space="preserve">izmaiņas </w:t>
      </w:r>
      <w:r>
        <w:rPr>
          <w:sz w:val="22"/>
          <w:szCs w:val="22"/>
        </w:rPr>
        <w:t>Pasūtītāja noteikt</w:t>
      </w:r>
      <w:r w:rsidR="00AC381B">
        <w:rPr>
          <w:sz w:val="22"/>
          <w:szCs w:val="22"/>
        </w:rPr>
        <w:t>ajā</w:t>
      </w:r>
      <w:r>
        <w:rPr>
          <w:sz w:val="22"/>
          <w:szCs w:val="22"/>
        </w:rPr>
        <w:t xml:space="preserve"> Darbu izpildes secīb</w:t>
      </w:r>
      <w:r w:rsidR="00AC381B">
        <w:rPr>
          <w:sz w:val="22"/>
          <w:szCs w:val="22"/>
        </w:rPr>
        <w:t>ā</w:t>
      </w:r>
      <w:r w:rsidR="00EE400A">
        <w:rPr>
          <w:sz w:val="22"/>
          <w:szCs w:val="22"/>
        </w:rPr>
        <w:t xml:space="preserve"> vai</w:t>
      </w:r>
      <w:r w:rsidR="00FC754D">
        <w:rPr>
          <w:sz w:val="22"/>
          <w:szCs w:val="22"/>
        </w:rPr>
        <w:t xml:space="preserve"> Uzņēmējs </w:t>
      </w:r>
      <w:r w:rsidR="00193E4A">
        <w:rPr>
          <w:sz w:val="22"/>
          <w:szCs w:val="22"/>
        </w:rPr>
        <w:t xml:space="preserve">veic Darbus, </w:t>
      </w:r>
      <w:r w:rsidR="00FC754D">
        <w:rPr>
          <w:sz w:val="22"/>
          <w:szCs w:val="22"/>
        </w:rPr>
        <w:t>neievēro</w:t>
      </w:r>
      <w:r w:rsidR="00193E4A">
        <w:rPr>
          <w:sz w:val="22"/>
          <w:szCs w:val="22"/>
        </w:rPr>
        <w:t>jot</w:t>
      </w:r>
      <w:r w:rsidR="00FC75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Pasūtītāja noteikto Darbu izpildes secību, </w:t>
      </w:r>
      <w:r w:rsidR="00193E4A">
        <w:rPr>
          <w:sz w:val="22"/>
          <w:szCs w:val="22"/>
        </w:rPr>
        <w:t xml:space="preserve">Pasūtītājs maksā Pārvietošanas maksu </w:t>
      </w:r>
      <w:r w:rsidR="006A3D1B">
        <w:rPr>
          <w:sz w:val="22"/>
          <w:szCs w:val="22"/>
        </w:rPr>
        <w:t xml:space="preserve">atbilstoši Pasūtītāja noteiktajai Darbu izpildes </w:t>
      </w:r>
      <w:r w:rsidR="006A3D1B" w:rsidRPr="001F37BB">
        <w:rPr>
          <w:sz w:val="22"/>
          <w:szCs w:val="22"/>
        </w:rPr>
        <w:t>secībai</w:t>
      </w:r>
      <w:r w:rsidR="00AB0BD0" w:rsidRPr="001F37BB">
        <w:rPr>
          <w:sz w:val="22"/>
          <w:szCs w:val="22"/>
        </w:rPr>
        <w:t xml:space="preserve">, ievērojot </w:t>
      </w:r>
      <w:r w:rsidR="00AB0BD0" w:rsidRPr="00592F34">
        <w:rPr>
          <w:sz w:val="22"/>
          <w:szCs w:val="22"/>
        </w:rPr>
        <w:t xml:space="preserve">Noteikumu </w:t>
      </w:r>
      <w:r w:rsidR="001F37BB" w:rsidRPr="00592F34">
        <w:rPr>
          <w:sz w:val="22"/>
          <w:szCs w:val="22"/>
        </w:rPr>
        <w:t>1</w:t>
      </w:r>
      <w:r w:rsidR="00144E03">
        <w:rPr>
          <w:sz w:val="22"/>
          <w:szCs w:val="22"/>
        </w:rPr>
        <w:t>0</w:t>
      </w:r>
      <w:r w:rsidR="00AB0BD0" w:rsidRPr="00592F34">
        <w:rPr>
          <w:sz w:val="22"/>
          <w:szCs w:val="22"/>
        </w:rPr>
        <w:t>. punktā noteiktos gadījumus, kad Pārvietošanas maksu nemaksā</w:t>
      </w:r>
      <w:r w:rsidR="006A3D1B" w:rsidRPr="00592F34">
        <w:rPr>
          <w:sz w:val="22"/>
          <w:szCs w:val="22"/>
        </w:rPr>
        <w:t>.</w:t>
      </w:r>
    </w:p>
    <w:p w14:paraId="64C7334C" w14:textId="64C25647" w:rsidR="008B09E6" w:rsidRPr="001E090F" w:rsidRDefault="001E090F" w:rsidP="001E090F">
      <w:pPr>
        <w:pStyle w:val="BodyText"/>
        <w:numPr>
          <w:ilvl w:val="0"/>
          <w:numId w:val="6"/>
        </w:numPr>
        <w:autoSpaceDE w:val="0"/>
        <w:autoSpaceDN w:val="0"/>
        <w:adjustRightInd w:val="0"/>
        <w:spacing w:after="19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Pasūtītājs nemaksā </w:t>
      </w:r>
      <w:r w:rsidR="008B09E6" w:rsidRPr="00BB51E8">
        <w:rPr>
          <w:sz w:val="22"/>
          <w:szCs w:val="22"/>
        </w:rPr>
        <w:t>Pārvietošanas maksu</w:t>
      </w:r>
      <w:r w:rsidR="00BB51E8" w:rsidRPr="00BB51E8">
        <w:rPr>
          <w:sz w:val="22"/>
          <w:szCs w:val="22"/>
        </w:rPr>
        <w:t xml:space="preserve"> par gadījumiem, kas nav </w:t>
      </w:r>
      <w:r>
        <w:rPr>
          <w:sz w:val="22"/>
          <w:szCs w:val="22"/>
        </w:rPr>
        <w:t>norādīti</w:t>
      </w:r>
      <w:r w:rsidR="00BB51E8" w:rsidRPr="00BB51E8">
        <w:rPr>
          <w:sz w:val="22"/>
          <w:szCs w:val="22"/>
        </w:rPr>
        <w:t xml:space="preserve"> šajos </w:t>
      </w:r>
      <w:r w:rsidR="00BB51E8" w:rsidRPr="008408F1">
        <w:rPr>
          <w:sz w:val="22"/>
          <w:szCs w:val="22"/>
        </w:rPr>
        <w:t>Noteikumos</w:t>
      </w:r>
      <w:r w:rsidR="0066685D">
        <w:rPr>
          <w:sz w:val="22"/>
          <w:szCs w:val="22"/>
        </w:rPr>
        <w:t>.</w:t>
      </w:r>
    </w:p>
    <w:p w14:paraId="3A1846F4" w14:textId="2FF00048" w:rsidR="001265A9" w:rsidRDefault="00115628" w:rsidP="008977AC">
      <w:pPr>
        <w:pStyle w:val="BodyText"/>
        <w:numPr>
          <w:ilvl w:val="0"/>
          <w:numId w:val="6"/>
        </w:numPr>
        <w:autoSpaceDE w:val="0"/>
        <w:autoSpaceDN w:val="0"/>
        <w:adjustRightInd w:val="0"/>
        <w:spacing w:after="19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Pārvietošanas </w:t>
      </w:r>
      <w:r w:rsidR="00FC5798">
        <w:rPr>
          <w:sz w:val="22"/>
          <w:szCs w:val="22"/>
        </w:rPr>
        <w:t>maksu</w:t>
      </w:r>
      <w:r w:rsidR="00FC5798" w:rsidRPr="00384B80">
        <w:rPr>
          <w:sz w:val="22"/>
          <w:szCs w:val="22"/>
        </w:rPr>
        <w:t xml:space="preserve"> </w:t>
      </w:r>
      <w:r w:rsidR="00056093">
        <w:rPr>
          <w:sz w:val="22"/>
          <w:szCs w:val="22"/>
        </w:rPr>
        <w:t>par Tehnikas Pārvietošanu uz Noteikumu 1.1. – 1.</w:t>
      </w:r>
      <w:r w:rsidR="00124DA9">
        <w:rPr>
          <w:sz w:val="22"/>
          <w:szCs w:val="22"/>
        </w:rPr>
        <w:t>4</w:t>
      </w:r>
      <w:r w:rsidR="00056093">
        <w:rPr>
          <w:sz w:val="22"/>
          <w:szCs w:val="22"/>
        </w:rPr>
        <w:t xml:space="preserve">. punktā noteiktu Platību </w:t>
      </w:r>
      <w:r w:rsidR="001265A9">
        <w:rPr>
          <w:sz w:val="22"/>
          <w:szCs w:val="22"/>
        </w:rPr>
        <w:t>nemaksā</w:t>
      </w:r>
      <w:r w:rsidR="00FC5798">
        <w:rPr>
          <w:sz w:val="22"/>
          <w:szCs w:val="22"/>
        </w:rPr>
        <w:t xml:space="preserve"> šādos gadījumos</w:t>
      </w:r>
      <w:r w:rsidR="001265A9">
        <w:rPr>
          <w:sz w:val="22"/>
          <w:szCs w:val="22"/>
        </w:rPr>
        <w:t>:</w:t>
      </w:r>
    </w:p>
    <w:p w14:paraId="702EC4EF" w14:textId="4861ECDB" w:rsidR="00DD32E6" w:rsidRDefault="00DD32E6" w:rsidP="003F265E">
      <w:pPr>
        <w:pStyle w:val="BodyText"/>
        <w:numPr>
          <w:ilvl w:val="1"/>
          <w:numId w:val="6"/>
        </w:numPr>
        <w:autoSpaceDE w:val="0"/>
        <w:autoSpaceDN w:val="0"/>
        <w:adjustRightInd w:val="0"/>
        <w:spacing w:after="19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</w:t>
      </w:r>
      <w:r w:rsidR="001F37BB" w:rsidRPr="001F37BB">
        <w:rPr>
          <w:sz w:val="22"/>
          <w:szCs w:val="22"/>
        </w:rPr>
        <w:t>Tehnikas pārvietošana</w:t>
      </w:r>
      <w:r w:rsidR="001F37BB">
        <w:rPr>
          <w:sz w:val="22"/>
          <w:szCs w:val="22"/>
        </w:rPr>
        <w:t xml:space="preserve"> Darbu izpildei </w:t>
      </w:r>
      <w:r>
        <w:rPr>
          <w:sz w:val="22"/>
          <w:szCs w:val="22"/>
        </w:rPr>
        <w:t xml:space="preserve">Noteikumu 1. punktā </w:t>
      </w:r>
      <w:r w:rsidR="001F37BB">
        <w:rPr>
          <w:sz w:val="22"/>
          <w:szCs w:val="22"/>
        </w:rPr>
        <w:t xml:space="preserve">noteiktajās Platībās </w:t>
      </w:r>
      <w:r>
        <w:rPr>
          <w:sz w:val="22"/>
          <w:szCs w:val="22"/>
        </w:rPr>
        <w:t>ne</w:t>
      </w:r>
      <w:r w:rsidRPr="00C608BC">
        <w:rPr>
          <w:sz w:val="22"/>
          <w:szCs w:val="22"/>
        </w:rPr>
        <w:t>pārsniedz 1 kilometru</w:t>
      </w:r>
      <w:r>
        <w:rPr>
          <w:sz w:val="22"/>
          <w:szCs w:val="22"/>
        </w:rPr>
        <w:t>;</w:t>
      </w:r>
    </w:p>
    <w:p w14:paraId="5BA2AE72" w14:textId="7242F17D" w:rsidR="00DD32E6" w:rsidRDefault="00DD32E6" w:rsidP="00DD32E6">
      <w:pPr>
        <w:pStyle w:val="BodyText"/>
        <w:numPr>
          <w:ilvl w:val="1"/>
          <w:numId w:val="6"/>
        </w:numPr>
        <w:autoSpaceDE w:val="0"/>
        <w:autoSpaceDN w:val="0"/>
        <w:adjustRightInd w:val="0"/>
        <w:spacing w:after="19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ja Da</w:t>
      </w:r>
      <w:r w:rsidRPr="005203E7">
        <w:rPr>
          <w:sz w:val="22"/>
          <w:szCs w:val="22"/>
        </w:rPr>
        <w:t xml:space="preserve">rbu izpilde Platībā </w:t>
      </w:r>
      <w:r>
        <w:rPr>
          <w:sz w:val="22"/>
          <w:szCs w:val="22"/>
        </w:rPr>
        <w:t>ne</w:t>
      </w:r>
      <w:r w:rsidRPr="005203E7">
        <w:rPr>
          <w:sz w:val="22"/>
          <w:szCs w:val="22"/>
        </w:rPr>
        <w:t xml:space="preserve">atbilst Līgumā noteiktajām prasībām </w:t>
      </w:r>
      <w:r w:rsidRPr="001F37BB">
        <w:rPr>
          <w:sz w:val="22"/>
          <w:szCs w:val="22"/>
        </w:rPr>
        <w:t>un/vai</w:t>
      </w:r>
      <w:r w:rsidRPr="005203E7">
        <w:rPr>
          <w:sz w:val="22"/>
          <w:szCs w:val="22"/>
        </w:rPr>
        <w:t xml:space="preserve"> Līgumā noteiktajā kārtībā </w:t>
      </w:r>
      <w:r>
        <w:rPr>
          <w:sz w:val="22"/>
          <w:szCs w:val="22"/>
        </w:rPr>
        <w:t xml:space="preserve">nav </w:t>
      </w:r>
      <w:r w:rsidRPr="005203E7">
        <w:rPr>
          <w:sz w:val="22"/>
          <w:szCs w:val="22"/>
        </w:rPr>
        <w:t>saņemts Uzņēmēja aizpildīts paškontroles akts par attiecīgo Platību</w:t>
      </w:r>
      <w:r w:rsidR="001F37BB">
        <w:rPr>
          <w:sz w:val="22"/>
          <w:szCs w:val="22"/>
        </w:rPr>
        <w:t xml:space="preserve"> vai tajā nav</w:t>
      </w:r>
      <w:r w:rsidR="004728A8">
        <w:rPr>
          <w:sz w:val="22"/>
          <w:szCs w:val="22"/>
        </w:rPr>
        <w:t xml:space="preserve"> norādīti kilometri</w:t>
      </w:r>
      <w:r w:rsidR="001F37BB">
        <w:rPr>
          <w:sz w:val="22"/>
          <w:szCs w:val="22"/>
        </w:rPr>
        <w:t xml:space="preserve"> Pārvietošanas maksas saņemšanai</w:t>
      </w:r>
      <w:r w:rsidR="00CB1D89">
        <w:rPr>
          <w:sz w:val="22"/>
          <w:szCs w:val="22"/>
        </w:rPr>
        <w:t>.</w:t>
      </w:r>
    </w:p>
    <w:p w14:paraId="46B2297B" w14:textId="4132F88D" w:rsidR="00FE2749" w:rsidRPr="007A0209" w:rsidRDefault="00BF2A38" w:rsidP="007A0209">
      <w:pPr>
        <w:pStyle w:val="BodyText"/>
        <w:numPr>
          <w:ilvl w:val="0"/>
          <w:numId w:val="6"/>
        </w:numPr>
        <w:autoSpaceDE w:val="0"/>
        <w:autoSpaceDN w:val="0"/>
        <w:adjustRightInd w:val="0"/>
        <w:spacing w:after="19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Pasūtītājs veic maksājumu 90,00 </w:t>
      </w:r>
      <w:r w:rsidRPr="00BF2A38">
        <w:rPr>
          <w:i/>
          <w:iCs/>
          <w:sz w:val="22"/>
          <w:szCs w:val="22"/>
        </w:rPr>
        <w:t>euro</w:t>
      </w:r>
      <w:r>
        <w:rPr>
          <w:sz w:val="22"/>
          <w:szCs w:val="22"/>
        </w:rPr>
        <w:t xml:space="preserve"> x Koeficients 2,6</w:t>
      </w:r>
      <w:r w:rsidR="00F54092">
        <w:rPr>
          <w:sz w:val="22"/>
          <w:szCs w:val="22"/>
        </w:rPr>
        <w:t xml:space="preserve"> apmērā</w:t>
      </w:r>
      <w:r w:rsidR="007A0209">
        <w:rPr>
          <w:sz w:val="22"/>
          <w:szCs w:val="22"/>
        </w:rPr>
        <w:t xml:space="preserve">, </w:t>
      </w:r>
      <w:r w:rsidR="004728A8" w:rsidRPr="007A0209">
        <w:rPr>
          <w:sz w:val="22"/>
          <w:szCs w:val="22"/>
        </w:rPr>
        <w:t>j</w:t>
      </w:r>
      <w:r w:rsidR="00FE2749" w:rsidRPr="007A0209">
        <w:rPr>
          <w:sz w:val="22"/>
          <w:szCs w:val="22"/>
        </w:rPr>
        <w:t>a</w:t>
      </w:r>
      <w:r w:rsidR="00A36A2E" w:rsidRPr="007A0209">
        <w:rPr>
          <w:sz w:val="22"/>
          <w:szCs w:val="22"/>
        </w:rPr>
        <w:t xml:space="preserve"> Pasūtītāja ražošanas nepieciešamības</w:t>
      </w:r>
      <w:r w:rsidR="004728A8" w:rsidRPr="007A0209">
        <w:rPr>
          <w:sz w:val="22"/>
          <w:szCs w:val="22"/>
        </w:rPr>
        <w:t xml:space="preserve"> dēļ T</w:t>
      </w:r>
      <w:r w:rsidR="00FE2749" w:rsidRPr="007A0209">
        <w:rPr>
          <w:sz w:val="22"/>
          <w:szCs w:val="22"/>
        </w:rPr>
        <w:t>ehnika jāpārvieto uz bāzes vietu un</w:t>
      </w:r>
      <w:r w:rsidR="004728A8" w:rsidRPr="007A0209">
        <w:rPr>
          <w:sz w:val="22"/>
          <w:szCs w:val="22"/>
        </w:rPr>
        <w:t>,</w:t>
      </w:r>
      <w:r w:rsidR="00FE2749" w:rsidRPr="007A0209">
        <w:rPr>
          <w:sz w:val="22"/>
          <w:szCs w:val="22"/>
        </w:rPr>
        <w:t xml:space="preserve"> atsākot darbu</w:t>
      </w:r>
      <w:r w:rsidR="004728A8" w:rsidRPr="007A0209">
        <w:rPr>
          <w:sz w:val="22"/>
          <w:szCs w:val="22"/>
        </w:rPr>
        <w:t>,</w:t>
      </w:r>
      <w:r w:rsidR="00FE2749" w:rsidRPr="007A0209">
        <w:rPr>
          <w:sz w:val="22"/>
          <w:szCs w:val="22"/>
        </w:rPr>
        <w:t xml:space="preserve"> uz pirmo </w:t>
      </w:r>
      <w:r w:rsidR="00A36A2E" w:rsidRPr="007A0209">
        <w:rPr>
          <w:sz w:val="22"/>
          <w:szCs w:val="22"/>
        </w:rPr>
        <w:t>P</w:t>
      </w:r>
      <w:r w:rsidR="00FE2749" w:rsidRPr="007A0209">
        <w:rPr>
          <w:sz w:val="22"/>
          <w:szCs w:val="22"/>
        </w:rPr>
        <w:t>latību</w:t>
      </w:r>
      <w:r w:rsidR="004728A8" w:rsidRPr="007A0209">
        <w:rPr>
          <w:sz w:val="22"/>
          <w:szCs w:val="22"/>
        </w:rPr>
        <w:t>.</w:t>
      </w:r>
    </w:p>
    <w:p w14:paraId="032CA7EB" w14:textId="5E538F6D" w:rsidR="008922E3" w:rsidRPr="00BF515A" w:rsidRDefault="008922E3" w:rsidP="00FE2749">
      <w:pPr>
        <w:pStyle w:val="BodyText"/>
        <w:autoSpaceDE w:val="0"/>
        <w:autoSpaceDN w:val="0"/>
        <w:adjustRightInd w:val="0"/>
        <w:spacing w:after="19"/>
        <w:ind w:left="993"/>
        <w:jc w:val="both"/>
        <w:rPr>
          <w:sz w:val="22"/>
          <w:szCs w:val="22"/>
        </w:rPr>
      </w:pPr>
    </w:p>
    <w:sectPr w:rsidR="008922E3" w:rsidRPr="00BF515A" w:rsidSect="008977AC">
      <w:pgSz w:w="12240" w:h="16340"/>
      <w:pgMar w:top="284" w:right="1183" w:bottom="648" w:left="13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C72A7"/>
    <w:multiLevelType w:val="hybridMultilevel"/>
    <w:tmpl w:val="C278CE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77D7F"/>
    <w:multiLevelType w:val="hybridMultilevel"/>
    <w:tmpl w:val="91CE27AA"/>
    <w:lvl w:ilvl="0" w:tplc="6CD80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25E8B"/>
    <w:multiLevelType w:val="multilevel"/>
    <w:tmpl w:val="7B723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1867422"/>
    <w:multiLevelType w:val="hybridMultilevel"/>
    <w:tmpl w:val="149891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15248"/>
    <w:multiLevelType w:val="hybridMultilevel"/>
    <w:tmpl w:val="980EDBF6"/>
    <w:lvl w:ilvl="0" w:tplc="F3F6C4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42441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0BEAD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5B0BC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2EC87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9C06E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6E839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7EC8E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F149F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1D893F4E"/>
    <w:multiLevelType w:val="hybridMultilevel"/>
    <w:tmpl w:val="8F6248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F00FA"/>
    <w:multiLevelType w:val="multilevel"/>
    <w:tmpl w:val="278EE7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5908A8"/>
    <w:multiLevelType w:val="multilevel"/>
    <w:tmpl w:val="7B723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42253B99"/>
    <w:multiLevelType w:val="hybridMultilevel"/>
    <w:tmpl w:val="451CC1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B1A59"/>
    <w:multiLevelType w:val="hybridMultilevel"/>
    <w:tmpl w:val="EEF0EF28"/>
    <w:lvl w:ilvl="0" w:tplc="04260017">
      <w:start w:val="1"/>
      <w:numFmt w:val="lowerLetter"/>
      <w:lvlText w:val="%1)"/>
      <w:lvlJc w:val="left"/>
      <w:pPr>
        <w:ind w:left="770" w:hanging="360"/>
      </w:pPr>
    </w:lvl>
    <w:lvl w:ilvl="1" w:tplc="04260019" w:tentative="1">
      <w:start w:val="1"/>
      <w:numFmt w:val="lowerLetter"/>
      <w:lvlText w:val="%2."/>
      <w:lvlJc w:val="left"/>
      <w:pPr>
        <w:ind w:left="1490" w:hanging="360"/>
      </w:pPr>
    </w:lvl>
    <w:lvl w:ilvl="2" w:tplc="0426001B" w:tentative="1">
      <w:start w:val="1"/>
      <w:numFmt w:val="lowerRoman"/>
      <w:lvlText w:val="%3."/>
      <w:lvlJc w:val="right"/>
      <w:pPr>
        <w:ind w:left="2210" w:hanging="180"/>
      </w:pPr>
    </w:lvl>
    <w:lvl w:ilvl="3" w:tplc="0426000F" w:tentative="1">
      <w:start w:val="1"/>
      <w:numFmt w:val="decimal"/>
      <w:lvlText w:val="%4."/>
      <w:lvlJc w:val="left"/>
      <w:pPr>
        <w:ind w:left="2930" w:hanging="360"/>
      </w:pPr>
    </w:lvl>
    <w:lvl w:ilvl="4" w:tplc="04260019" w:tentative="1">
      <w:start w:val="1"/>
      <w:numFmt w:val="lowerLetter"/>
      <w:lvlText w:val="%5."/>
      <w:lvlJc w:val="left"/>
      <w:pPr>
        <w:ind w:left="3650" w:hanging="360"/>
      </w:pPr>
    </w:lvl>
    <w:lvl w:ilvl="5" w:tplc="0426001B" w:tentative="1">
      <w:start w:val="1"/>
      <w:numFmt w:val="lowerRoman"/>
      <w:lvlText w:val="%6."/>
      <w:lvlJc w:val="right"/>
      <w:pPr>
        <w:ind w:left="4370" w:hanging="180"/>
      </w:pPr>
    </w:lvl>
    <w:lvl w:ilvl="6" w:tplc="0426000F" w:tentative="1">
      <w:start w:val="1"/>
      <w:numFmt w:val="decimal"/>
      <w:lvlText w:val="%7."/>
      <w:lvlJc w:val="left"/>
      <w:pPr>
        <w:ind w:left="5090" w:hanging="360"/>
      </w:pPr>
    </w:lvl>
    <w:lvl w:ilvl="7" w:tplc="04260019" w:tentative="1">
      <w:start w:val="1"/>
      <w:numFmt w:val="lowerLetter"/>
      <w:lvlText w:val="%8."/>
      <w:lvlJc w:val="left"/>
      <w:pPr>
        <w:ind w:left="5810" w:hanging="360"/>
      </w:pPr>
    </w:lvl>
    <w:lvl w:ilvl="8" w:tplc="042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52CC28B5"/>
    <w:multiLevelType w:val="hybridMultilevel"/>
    <w:tmpl w:val="892E3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93999"/>
    <w:multiLevelType w:val="hybridMultilevel"/>
    <w:tmpl w:val="ADAE6F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157B"/>
    <w:multiLevelType w:val="hybridMultilevel"/>
    <w:tmpl w:val="6FC43CF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6732FD"/>
    <w:multiLevelType w:val="hybridMultilevel"/>
    <w:tmpl w:val="C596846E"/>
    <w:lvl w:ilvl="0" w:tplc="0FBCF9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4ADB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1568A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C901B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56AC1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52657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EEEB2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E6C96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690B8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846865640">
    <w:abstractNumId w:val="3"/>
  </w:num>
  <w:num w:numId="2" w16cid:durableId="1110323834">
    <w:abstractNumId w:val="1"/>
  </w:num>
  <w:num w:numId="3" w16cid:durableId="517739575">
    <w:abstractNumId w:val="9"/>
  </w:num>
  <w:num w:numId="4" w16cid:durableId="720908071">
    <w:abstractNumId w:val="8"/>
  </w:num>
  <w:num w:numId="5" w16cid:durableId="629211784">
    <w:abstractNumId w:val="10"/>
  </w:num>
  <w:num w:numId="6" w16cid:durableId="2040159855">
    <w:abstractNumId w:val="7"/>
  </w:num>
  <w:num w:numId="7" w16cid:durableId="1238173588">
    <w:abstractNumId w:val="2"/>
  </w:num>
  <w:num w:numId="8" w16cid:durableId="1461874528">
    <w:abstractNumId w:val="4"/>
  </w:num>
  <w:num w:numId="9" w16cid:durableId="1882743799">
    <w:abstractNumId w:val="0"/>
  </w:num>
  <w:num w:numId="10" w16cid:durableId="2022972345">
    <w:abstractNumId w:val="13"/>
  </w:num>
  <w:num w:numId="11" w16cid:durableId="1965312247">
    <w:abstractNumId w:val="6"/>
  </w:num>
  <w:num w:numId="12" w16cid:durableId="770276063">
    <w:abstractNumId w:val="5"/>
  </w:num>
  <w:num w:numId="13" w16cid:durableId="175538076">
    <w:abstractNumId w:val="11"/>
  </w:num>
  <w:num w:numId="14" w16cid:durableId="2094605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3F"/>
    <w:rsid w:val="00002003"/>
    <w:rsid w:val="00004088"/>
    <w:rsid w:val="00004E47"/>
    <w:rsid w:val="00026ADF"/>
    <w:rsid w:val="00045EE1"/>
    <w:rsid w:val="00056093"/>
    <w:rsid w:val="00062741"/>
    <w:rsid w:val="0007380F"/>
    <w:rsid w:val="00083C34"/>
    <w:rsid w:val="000A2C77"/>
    <w:rsid w:val="000A45CA"/>
    <w:rsid w:val="000B2363"/>
    <w:rsid w:val="000C6AD0"/>
    <w:rsid w:val="000D5FFC"/>
    <w:rsid w:val="000E57A2"/>
    <w:rsid w:val="000F7ED7"/>
    <w:rsid w:val="0011378C"/>
    <w:rsid w:val="00114853"/>
    <w:rsid w:val="00114A54"/>
    <w:rsid w:val="00115628"/>
    <w:rsid w:val="001208B6"/>
    <w:rsid w:val="00124DA9"/>
    <w:rsid w:val="001265A9"/>
    <w:rsid w:val="00130A7E"/>
    <w:rsid w:val="00133C76"/>
    <w:rsid w:val="00142258"/>
    <w:rsid w:val="001426F9"/>
    <w:rsid w:val="00144E03"/>
    <w:rsid w:val="00147950"/>
    <w:rsid w:val="00176CF1"/>
    <w:rsid w:val="00193E4A"/>
    <w:rsid w:val="001A17E4"/>
    <w:rsid w:val="001B3F4E"/>
    <w:rsid w:val="001B40DC"/>
    <w:rsid w:val="001C031F"/>
    <w:rsid w:val="001D1C18"/>
    <w:rsid w:val="001D5942"/>
    <w:rsid w:val="001D5AA2"/>
    <w:rsid w:val="001E090F"/>
    <w:rsid w:val="001E3A8A"/>
    <w:rsid w:val="001F37BB"/>
    <w:rsid w:val="001F4AC2"/>
    <w:rsid w:val="001F5C36"/>
    <w:rsid w:val="002039CB"/>
    <w:rsid w:val="00203D45"/>
    <w:rsid w:val="00221EF4"/>
    <w:rsid w:val="00222C66"/>
    <w:rsid w:val="00223B74"/>
    <w:rsid w:val="00237812"/>
    <w:rsid w:val="002438AD"/>
    <w:rsid w:val="00251E51"/>
    <w:rsid w:val="00264791"/>
    <w:rsid w:val="00265A15"/>
    <w:rsid w:val="00277D7E"/>
    <w:rsid w:val="002852A6"/>
    <w:rsid w:val="0028575C"/>
    <w:rsid w:val="002A6EC9"/>
    <w:rsid w:val="002B042D"/>
    <w:rsid w:val="002B2D9B"/>
    <w:rsid w:val="002B3B38"/>
    <w:rsid w:val="002C2A03"/>
    <w:rsid w:val="002C6AF8"/>
    <w:rsid w:val="002E030F"/>
    <w:rsid w:val="002E44AD"/>
    <w:rsid w:val="003064E2"/>
    <w:rsid w:val="003312DA"/>
    <w:rsid w:val="00334EA4"/>
    <w:rsid w:val="00344B91"/>
    <w:rsid w:val="00347BCB"/>
    <w:rsid w:val="0035262C"/>
    <w:rsid w:val="00357CA9"/>
    <w:rsid w:val="00370F75"/>
    <w:rsid w:val="00380A8C"/>
    <w:rsid w:val="003914C0"/>
    <w:rsid w:val="003A326A"/>
    <w:rsid w:val="003A3CB6"/>
    <w:rsid w:val="003D77C1"/>
    <w:rsid w:val="003E2789"/>
    <w:rsid w:val="003F1BCD"/>
    <w:rsid w:val="003F265E"/>
    <w:rsid w:val="003F6AD7"/>
    <w:rsid w:val="004110D9"/>
    <w:rsid w:val="0041122D"/>
    <w:rsid w:val="004121F0"/>
    <w:rsid w:val="0041330A"/>
    <w:rsid w:val="00420783"/>
    <w:rsid w:val="0042495A"/>
    <w:rsid w:val="0045183A"/>
    <w:rsid w:val="00453141"/>
    <w:rsid w:val="00462763"/>
    <w:rsid w:val="004728A8"/>
    <w:rsid w:val="00473BE7"/>
    <w:rsid w:val="00475B89"/>
    <w:rsid w:val="00477025"/>
    <w:rsid w:val="004813E8"/>
    <w:rsid w:val="004863BA"/>
    <w:rsid w:val="004A1382"/>
    <w:rsid w:val="004A4405"/>
    <w:rsid w:val="004A4C08"/>
    <w:rsid w:val="004A602B"/>
    <w:rsid w:val="004C169F"/>
    <w:rsid w:val="004D1D48"/>
    <w:rsid w:val="005029C6"/>
    <w:rsid w:val="005203E7"/>
    <w:rsid w:val="00521D02"/>
    <w:rsid w:val="00525DB0"/>
    <w:rsid w:val="00537745"/>
    <w:rsid w:val="00554485"/>
    <w:rsid w:val="0056273F"/>
    <w:rsid w:val="00574789"/>
    <w:rsid w:val="00585D08"/>
    <w:rsid w:val="0059048B"/>
    <w:rsid w:val="00590B3E"/>
    <w:rsid w:val="00592F34"/>
    <w:rsid w:val="005C38FA"/>
    <w:rsid w:val="005E2472"/>
    <w:rsid w:val="005E5558"/>
    <w:rsid w:val="005F5861"/>
    <w:rsid w:val="0060405A"/>
    <w:rsid w:val="006053D1"/>
    <w:rsid w:val="00610DBE"/>
    <w:rsid w:val="00611373"/>
    <w:rsid w:val="00615636"/>
    <w:rsid w:val="0062205B"/>
    <w:rsid w:val="006432AD"/>
    <w:rsid w:val="0066273C"/>
    <w:rsid w:val="0066685D"/>
    <w:rsid w:val="00671DA9"/>
    <w:rsid w:val="00675206"/>
    <w:rsid w:val="006834D3"/>
    <w:rsid w:val="006A3D1B"/>
    <w:rsid w:val="006A5D80"/>
    <w:rsid w:val="006B2774"/>
    <w:rsid w:val="006C4DAB"/>
    <w:rsid w:val="006C60AD"/>
    <w:rsid w:val="007019E9"/>
    <w:rsid w:val="00712DD2"/>
    <w:rsid w:val="00720104"/>
    <w:rsid w:val="0073402F"/>
    <w:rsid w:val="0074314D"/>
    <w:rsid w:val="0074480B"/>
    <w:rsid w:val="007720E1"/>
    <w:rsid w:val="00775A02"/>
    <w:rsid w:val="007A0209"/>
    <w:rsid w:val="007B03B8"/>
    <w:rsid w:val="007B6935"/>
    <w:rsid w:val="007C6F81"/>
    <w:rsid w:val="00817430"/>
    <w:rsid w:val="00827F14"/>
    <w:rsid w:val="00837DDE"/>
    <w:rsid w:val="008408F1"/>
    <w:rsid w:val="00871B99"/>
    <w:rsid w:val="00873D89"/>
    <w:rsid w:val="00883F43"/>
    <w:rsid w:val="008922E3"/>
    <w:rsid w:val="00894F77"/>
    <w:rsid w:val="00895399"/>
    <w:rsid w:val="008977AC"/>
    <w:rsid w:val="008B09E6"/>
    <w:rsid w:val="008D24D5"/>
    <w:rsid w:val="008D2C48"/>
    <w:rsid w:val="008D71AD"/>
    <w:rsid w:val="0090163F"/>
    <w:rsid w:val="00905F6F"/>
    <w:rsid w:val="00914F92"/>
    <w:rsid w:val="00917EAC"/>
    <w:rsid w:val="00921AE2"/>
    <w:rsid w:val="00922E8B"/>
    <w:rsid w:val="009702AB"/>
    <w:rsid w:val="009850A6"/>
    <w:rsid w:val="00987B4B"/>
    <w:rsid w:val="009920C7"/>
    <w:rsid w:val="009971A5"/>
    <w:rsid w:val="009A50AA"/>
    <w:rsid w:val="009C5199"/>
    <w:rsid w:val="009E4F8B"/>
    <w:rsid w:val="009F007D"/>
    <w:rsid w:val="009F3615"/>
    <w:rsid w:val="00A30F9B"/>
    <w:rsid w:val="00A31150"/>
    <w:rsid w:val="00A31B7D"/>
    <w:rsid w:val="00A36A2E"/>
    <w:rsid w:val="00A3737E"/>
    <w:rsid w:val="00A40019"/>
    <w:rsid w:val="00A41879"/>
    <w:rsid w:val="00A43002"/>
    <w:rsid w:val="00A776DB"/>
    <w:rsid w:val="00AA0909"/>
    <w:rsid w:val="00AA3050"/>
    <w:rsid w:val="00AB0BD0"/>
    <w:rsid w:val="00AC381B"/>
    <w:rsid w:val="00AD53FE"/>
    <w:rsid w:val="00AD6CA3"/>
    <w:rsid w:val="00AE5A37"/>
    <w:rsid w:val="00AF5F66"/>
    <w:rsid w:val="00B01E9D"/>
    <w:rsid w:val="00B151A0"/>
    <w:rsid w:val="00B17426"/>
    <w:rsid w:val="00B23365"/>
    <w:rsid w:val="00B255DA"/>
    <w:rsid w:val="00B44169"/>
    <w:rsid w:val="00B44AAA"/>
    <w:rsid w:val="00B62FAB"/>
    <w:rsid w:val="00B743FA"/>
    <w:rsid w:val="00BA3FBF"/>
    <w:rsid w:val="00BB186C"/>
    <w:rsid w:val="00BB51E8"/>
    <w:rsid w:val="00BC3453"/>
    <w:rsid w:val="00BD66C1"/>
    <w:rsid w:val="00BF2A38"/>
    <w:rsid w:val="00BF515A"/>
    <w:rsid w:val="00BF61FB"/>
    <w:rsid w:val="00C1575A"/>
    <w:rsid w:val="00C44BC7"/>
    <w:rsid w:val="00C608BC"/>
    <w:rsid w:val="00C60A85"/>
    <w:rsid w:val="00C67945"/>
    <w:rsid w:val="00C75DCE"/>
    <w:rsid w:val="00C97BE5"/>
    <w:rsid w:val="00CA1521"/>
    <w:rsid w:val="00CA28C4"/>
    <w:rsid w:val="00CA587D"/>
    <w:rsid w:val="00CB1D89"/>
    <w:rsid w:val="00CB44C3"/>
    <w:rsid w:val="00CC07F8"/>
    <w:rsid w:val="00CC74A7"/>
    <w:rsid w:val="00CE36DD"/>
    <w:rsid w:val="00CE659A"/>
    <w:rsid w:val="00CE6E8E"/>
    <w:rsid w:val="00D0193D"/>
    <w:rsid w:val="00D03F35"/>
    <w:rsid w:val="00D110EA"/>
    <w:rsid w:val="00D1195C"/>
    <w:rsid w:val="00D20EB3"/>
    <w:rsid w:val="00D24730"/>
    <w:rsid w:val="00D37F56"/>
    <w:rsid w:val="00D4431B"/>
    <w:rsid w:val="00D467BB"/>
    <w:rsid w:val="00D522E7"/>
    <w:rsid w:val="00D70D75"/>
    <w:rsid w:val="00D77512"/>
    <w:rsid w:val="00D925B5"/>
    <w:rsid w:val="00DC093B"/>
    <w:rsid w:val="00DC1315"/>
    <w:rsid w:val="00DC3317"/>
    <w:rsid w:val="00DD32E6"/>
    <w:rsid w:val="00DD4337"/>
    <w:rsid w:val="00DD43EA"/>
    <w:rsid w:val="00DE3153"/>
    <w:rsid w:val="00E00186"/>
    <w:rsid w:val="00E05DD7"/>
    <w:rsid w:val="00E3011E"/>
    <w:rsid w:val="00E37975"/>
    <w:rsid w:val="00E42AE5"/>
    <w:rsid w:val="00E55847"/>
    <w:rsid w:val="00E640E4"/>
    <w:rsid w:val="00EB3995"/>
    <w:rsid w:val="00EB6FED"/>
    <w:rsid w:val="00EC0EE0"/>
    <w:rsid w:val="00ED7568"/>
    <w:rsid w:val="00EE186C"/>
    <w:rsid w:val="00EE400A"/>
    <w:rsid w:val="00EF71D2"/>
    <w:rsid w:val="00F1175B"/>
    <w:rsid w:val="00F11B61"/>
    <w:rsid w:val="00F262F1"/>
    <w:rsid w:val="00F5124C"/>
    <w:rsid w:val="00F54092"/>
    <w:rsid w:val="00F56CB9"/>
    <w:rsid w:val="00F65B6D"/>
    <w:rsid w:val="00F65D66"/>
    <w:rsid w:val="00F65E02"/>
    <w:rsid w:val="00F7037A"/>
    <w:rsid w:val="00F77D2C"/>
    <w:rsid w:val="00F80190"/>
    <w:rsid w:val="00F90723"/>
    <w:rsid w:val="00FC237B"/>
    <w:rsid w:val="00FC32DF"/>
    <w:rsid w:val="00FC5798"/>
    <w:rsid w:val="00FC754D"/>
    <w:rsid w:val="00FD1B22"/>
    <w:rsid w:val="00FE2749"/>
    <w:rsid w:val="00FE47C3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6066B"/>
  <w15:chartTrackingRefBased/>
  <w15:docId w15:val="{61448007-D52D-4D62-A3B9-0FB13D2C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2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F5F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77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0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0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0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909"/>
    <w:rPr>
      <w:b/>
      <w:bCs/>
      <w:sz w:val="20"/>
      <w:szCs w:val="20"/>
    </w:rPr>
  </w:style>
  <w:style w:type="paragraph" w:styleId="BodyText">
    <w:name w:val="Body Text"/>
    <w:aliases w:val="Pamatteksts Rakstz. Rakstz."/>
    <w:basedOn w:val="Normal"/>
    <w:link w:val="BodyTextChar"/>
    <w:rsid w:val="00D019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character" w:customStyle="1" w:styleId="BodyTextChar">
    <w:name w:val="Body Text Char"/>
    <w:aliases w:val="Pamatteksts Rakstz. Rakstz. Char"/>
    <w:basedOn w:val="DefaultParagraphFont"/>
    <w:link w:val="BodyText"/>
    <w:rsid w:val="00D0193D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BodyText2">
    <w:name w:val="Body Text 2"/>
    <w:basedOn w:val="Normal"/>
    <w:link w:val="BodyText2Char"/>
    <w:rsid w:val="00D019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character" w:customStyle="1" w:styleId="BodyText2Char">
    <w:name w:val="Body Text 2 Char"/>
    <w:basedOn w:val="DefaultParagraphFont"/>
    <w:link w:val="BodyText2"/>
    <w:rsid w:val="00D0193D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6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65A9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DefaultParagraphFont"/>
    <w:rsid w:val="001265A9"/>
  </w:style>
  <w:style w:type="table" w:styleId="TableGrid">
    <w:name w:val="Table Grid"/>
    <w:basedOn w:val="TableNormal"/>
    <w:uiPriority w:val="39"/>
    <w:rsid w:val="0022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0D5FF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22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3459</Words>
  <Characters>1973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Katrevičs</dc:creator>
  <cp:keywords/>
  <dc:description/>
  <cp:lastModifiedBy>Ilze Birkmane</cp:lastModifiedBy>
  <cp:revision>3</cp:revision>
  <dcterms:created xsi:type="dcterms:W3CDTF">2024-02-12T12:38:00Z</dcterms:created>
  <dcterms:modified xsi:type="dcterms:W3CDTF">2024-02-12T12:39:00Z</dcterms:modified>
</cp:coreProperties>
</file>