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5FD9" w14:textId="2E88E0B7" w:rsidR="00F31AC2" w:rsidRDefault="00F31AC2" w:rsidP="00F31AC2">
      <w:pPr>
        <w:spacing w:after="0" w:line="240" w:lineRule="auto"/>
        <w:jc w:val="right"/>
        <w:rPr>
          <w:rFonts w:ascii="Times New Roman" w:hAnsi="Times New Roman" w:cs="Times New Roman"/>
          <w:bCs/>
          <w:sz w:val="20"/>
          <w:szCs w:val="20"/>
        </w:rPr>
      </w:pPr>
      <w:r w:rsidRPr="00F31AC2">
        <w:rPr>
          <w:rFonts w:ascii="Times New Roman" w:hAnsi="Times New Roman" w:cs="Times New Roman"/>
          <w:bCs/>
          <w:sz w:val="20"/>
          <w:szCs w:val="20"/>
        </w:rPr>
        <w:t>Nolikuma 1.pielikums</w:t>
      </w:r>
    </w:p>
    <w:p w14:paraId="2DD67618" w14:textId="0BDE66BA" w:rsidR="00F31AC2" w:rsidRPr="00F31AC2" w:rsidRDefault="00F31AC2" w:rsidP="00F31AC2">
      <w:pPr>
        <w:spacing w:after="0" w:line="240" w:lineRule="auto"/>
        <w:jc w:val="right"/>
        <w:rPr>
          <w:rFonts w:ascii="Times New Roman" w:hAnsi="Times New Roman" w:cs="Times New Roman"/>
          <w:bCs/>
          <w:i/>
          <w:iCs/>
          <w:sz w:val="20"/>
          <w:szCs w:val="20"/>
        </w:rPr>
      </w:pPr>
      <w:r w:rsidRPr="00F31AC2">
        <w:rPr>
          <w:rFonts w:ascii="Times New Roman" w:hAnsi="Times New Roman" w:cs="Times New Roman"/>
          <w:bCs/>
          <w:i/>
          <w:iCs/>
          <w:sz w:val="20"/>
          <w:szCs w:val="20"/>
        </w:rPr>
        <w:t>PIETEIKUMS</w:t>
      </w:r>
    </w:p>
    <w:p w14:paraId="198D51ED" w14:textId="77777777" w:rsidR="00F31AC2" w:rsidRDefault="00F31AC2" w:rsidP="00844C3F">
      <w:pPr>
        <w:spacing w:after="0" w:line="240" w:lineRule="auto"/>
        <w:jc w:val="center"/>
        <w:rPr>
          <w:rFonts w:ascii="Times New Roman" w:hAnsi="Times New Roman" w:cs="Times New Roman"/>
          <w:b/>
          <w:sz w:val="24"/>
          <w:szCs w:val="24"/>
        </w:rPr>
      </w:pPr>
    </w:p>
    <w:p w14:paraId="796A7935" w14:textId="6E1793C8" w:rsidR="00771E77" w:rsidRDefault="00844C3F" w:rsidP="00844C3F">
      <w:pPr>
        <w:spacing w:after="0" w:line="240" w:lineRule="auto"/>
        <w:jc w:val="center"/>
        <w:rPr>
          <w:rFonts w:ascii="Times New Roman" w:hAnsi="Times New Roman" w:cs="Times New Roman"/>
          <w:b/>
          <w:sz w:val="24"/>
          <w:szCs w:val="24"/>
        </w:rPr>
      </w:pPr>
      <w:r w:rsidRPr="006D43C3">
        <w:rPr>
          <w:rFonts w:ascii="Times New Roman" w:hAnsi="Times New Roman" w:cs="Times New Roman"/>
          <w:b/>
          <w:sz w:val="24"/>
          <w:szCs w:val="24"/>
        </w:rPr>
        <w:t>Pieteikums</w:t>
      </w:r>
      <w:r w:rsidR="00771E77">
        <w:rPr>
          <w:rFonts w:ascii="Times New Roman" w:hAnsi="Times New Roman" w:cs="Times New Roman"/>
          <w:b/>
          <w:sz w:val="24"/>
          <w:szCs w:val="24"/>
        </w:rPr>
        <w:t xml:space="preserve"> </w:t>
      </w:r>
      <w:r w:rsidR="00892AB4">
        <w:rPr>
          <w:rFonts w:ascii="Times New Roman" w:hAnsi="Times New Roman" w:cs="Times New Roman"/>
          <w:b/>
          <w:sz w:val="24"/>
          <w:szCs w:val="24"/>
        </w:rPr>
        <w:t>i</w:t>
      </w:r>
      <w:r w:rsidR="006D43C3">
        <w:rPr>
          <w:rFonts w:ascii="Times New Roman" w:hAnsi="Times New Roman" w:cs="Times New Roman"/>
          <w:b/>
          <w:sz w:val="24"/>
          <w:szCs w:val="24"/>
        </w:rPr>
        <w:t>zsolei</w:t>
      </w:r>
    </w:p>
    <w:p w14:paraId="04B8D6CD" w14:textId="4DDDF92B" w:rsidR="00844C3F" w:rsidRPr="00556C21" w:rsidRDefault="00973C65" w:rsidP="00030F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D5746" w:rsidRPr="006D5746">
        <w:rPr>
          <w:rFonts w:ascii="Times New Roman" w:hAnsi="Times New Roman" w:cs="Times New Roman"/>
          <w:b/>
          <w:sz w:val="24"/>
          <w:szCs w:val="24"/>
        </w:rPr>
        <w:t>AS „Latvijas valsts meži” piederošā nekustamā īpašuma “Gravas šķūnis”, kadastra Nr.88860020116, Strazdes pagastā, Talsu novadā, atsavināšana</w:t>
      </w:r>
      <w:r w:rsidR="00565085" w:rsidRPr="00565085">
        <w:rPr>
          <w:rFonts w:ascii="Times New Roman" w:hAnsi="Times New Roman" w:cs="Times New Roman"/>
          <w:b/>
          <w:sz w:val="24"/>
          <w:szCs w:val="24"/>
        </w:rPr>
        <w:t>”</w:t>
      </w:r>
    </w:p>
    <w:tbl>
      <w:tblPr>
        <w:tblStyle w:val="Reatabula"/>
        <w:tblW w:w="13948" w:type="dxa"/>
        <w:jc w:val="center"/>
        <w:tblLook w:val="04A0" w:firstRow="1" w:lastRow="0" w:firstColumn="1" w:lastColumn="0" w:noHBand="0" w:noVBand="1"/>
      </w:tblPr>
      <w:tblGrid>
        <w:gridCol w:w="2263"/>
        <w:gridCol w:w="2268"/>
        <w:gridCol w:w="3035"/>
        <w:gridCol w:w="3128"/>
        <w:gridCol w:w="3254"/>
      </w:tblGrid>
      <w:tr w:rsidR="002E0577" w:rsidRPr="00556C21" w14:paraId="7E978050" w14:textId="77777777" w:rsidTr="00BA560D">
        <w:trPr>
          <w:jc w:val="center"/>
        </w:trPr>
        <w:tc>
          <w:tcPr>
            <w:tcW w:w="2263" w:type="dxa"/>
            <w:vAlign w:val="center"/>
          </w:tcPr>
          <w:p w14:paraId="7E6A5380" w14:textId="77777777" w:rsidR="002E0577" w:rsidRPr="00BA560D" w:rsidRDefault="002E0577" w:rsidP="002E0577">
            <w:pPr>
              <w:jc w:val="center"/>
              <w:rPr>
                <w:rFonts w:ascii="Times New Roman" w:hAnsi="Times New Roman" w:cs="Times New Roman"/>
                <w:b/>
              </w:rPr>
            </w:pPr>
            <w:r w:rsidRPr="00BA560D">
              <w:rPr>
                <w:rFonts w:ascii="Times New Roman" w:hAnsi="Times New Roman" w:cs="Times New Roman"/>
                <w:b/>
              </w:rPr>
              <w:t>Vārds, uzvārds (juridiskai personai nosaukums)</w:t>
            </w:r>
          </w:p>
        </w:tc>
        <w:tc>
          <w:tcPr>
            <w:tcW w:w="2268" w:type="dxa"/>
            <w:vAlign w:val="center"/>
          </w:tcPr>
          <w:p w14:paraId="50124A9D" w14:textId="77777777" w:rsidR="002E0577" w:rsidRPr="00BA560D" w:rsidRDefault="002E0577" w:rsidP="002E0577">
            <w:pPr>
              <w:jc w:val="center"/>
              <w:rPr>
                <w:rFonts w:ascii="Times New Roman" w:hAnsi="Times New Roman" w:cs="Times New Roman"/>
                <w:b/>
              </w:rPr>
            </w:pPr>
            <w:r w:rsidRPr="00BA560D">
              <w:rPr>
                <w:rFonts w:ascii="Times New Roman" w:hAnsi="Times New Roman" w:cs="Times New Roman"/>
                <w:b/>
              </w:rPr>
              <w:t>Personas kods  (juridiskai personai reģistrācijas nr.)</w:t>
            </w:r>
          </w:p>
        </w:tc>
        <w:tc>
          <w:tcPr>
            <w:tcW w:w="3035" w:type="dxa"/>
            <w:vAlign w:val="center"/>
          </w:tcPr>
          <w:p w14:paraId="68C53F47" w14:textId="1B16F036" w:rsidR="002E0577" w:rsidRPr="00BA560D" w:rsidRDefault="002E0577" w:rsidP="002E0577">
            <w:pPr>
              <w:jc w:val="center"/>
              <w:rPr>
                <w:rFonts w:ascii="Times New Roman" w:hAnsi="Times New Roman" w:cs="Times New Roman"/>
                <w:b/>
              </w:rPr>
            </w:pPr>
            <w:r w:rsidRPr="00BA560D">
              <w:rPr>
                <w:rFonts w:ascii="Times New Roman" w:hAnsi="Times New Roman" w:cs="Times New Roman"/>
                <w:b/>
              </w:rPr>
              <w:t>Deklarētā dzīves vietas adrese (juridiskai personai</w:t>
            </w:r>
            <w:r w:rsidR="008508A8" w:rsidRPr="00BA560D">
              <w:rPr>
                <w:rFonts w:ascii="Times New Roman" w:hAnsi="Times New Roman" w:cs="Times New Roman"/>
                <w:b/>
              </w:rPr>
              <w:t xml:space="preserve"> -</w:t>
            </w:r>
            <w:r w:rsidRPr="00BA560D">
              <w:rPr>
                <w:rFonts w:ascii="Times New Roman" w:hAnsi="Times New Roman" w:cs="Times New Roman"/>
                <w:b/>
              </w:rPr>
              <w:t xml:space="preserve"> juridiskā adrese)</w:t>
            </w:r>
          </w:p>
        </w:tc>
        <w:tc>
          <w:tcPr>
            <w:tcW w:w="3128" w:type="dxa"/>
            <w:vAlign w:val="center"/>
          </w:tcPr>
          <w:p w14:paraId="72196340" w14:textId="22FA1F3B" w:rsidR="002E0577" w:rsidRPr="00BA560D" w:rsidRDefault="008508A8" w:rsidP="002E0577">
            <w:pPr>
              <w:jc w:val="center"/>
              <w:rPr>
                <w:rFonts w:ascii="Times New Roman" w:hAnsi="Times New Roman" w:cs="Times New Roman"/>
                <w:b/>
              </w:rPr>
            </w:pPr>
            <w:r w:rsidRPr="00BA560D">
              <w:rPr>
                <w:rFonts w:ascii="Times New Roman" w:hAnsi="Times New Roman" w:cs="Times New Roman"/>
                <w:b/>
              </w:rPr>
              <w:t>Bankas norēķinu konts, uz kuru LVM pārskaitīs nodrošinājumu Nolikuma 7.4.punktā noteiktajā kartībā</w:t>
            </w:r>
          </w:p>
        </w:tc>
        <w:tc>
          <w:tcPr>
            <w:tcW w:w="3254" w:type="dxa"/>
            <w:vAlign w:val="center"/>
          </w:tcPr>
          <w:p w14:paraId="403C09C1" w14:textId="6AC3A425" w:rsidR="002E0577" w:rsidRPr="00BA560D" w:rsidRDefault="00BA560D" w:rsidP="002E0577">
            <w:pPr>
              <w:jc w:val="center"/>
              <w:rPr>
                <w:rFonts w:ascii="Times New Roman" w:hAnsi="Times New Roman" w:cs="Times New Roman"/>
                <w:b/>
              </w:rPr>
            </w:pPr>
            <w:r w:rsidRPr="00BA560D">
              <w:rPr>
                <w:rFonts w:ascii="Times New Roman" w:hAnsi="Times New Roman" w:cs="Times New Roman"/>
                <w:b/>
              </w:rPr>
              <w:t>Kontaktpersonas vārds, uzvārds, t</w:t>
            </w:r>
            <w:r w:rsidR="008508A8" w:rsidRPr="00BA560D">
              <w:rPr>
                <w:rFonts w:ascii="Times New Roman" w:hAnsi="Times New Roman" w:cs="Times New Roman"/>
                <w:b/>
              </w:rPr>
              <w:t>ālruņa numurs, elektroniskā pasta adrese</w:t>
            </w:r>
          </w:p>
          <w:p w14:paraId="530193FF" w14:textId="5874C19F" w:rsidR="00BA560D" w:rsidRPr="00BA560D" w:rsidRDefault="00BA560D" w:rsidP="002E0577">
            <w:pPr>
              <w:jc w:val="center"/>
              <w:rPr>
                <w:rFonts w:ascii="Times New Roman" w:hAnsi="Times New Roman" w:cs="Times New Roman"/>
                <w:b/>
              </w:rPr>
            </w:pPr>
          </w:p>
        </w:tc>
      </w:tr>
      <w:tr w:rsidR="002E0577" w:rsidRPr="00844C3F" w14:paraId="2403DF08" w14:textId="77777777" w:rsidTr="00BA560D">
        <w:trPr>
          <w:jc w:val="center"/>
        </w:trPr>
        <w:tc>
          <w:tcPr>
            <w:tcW w:w="2263" w:type="dxa"/>
            <w:vAlign w:val="center"/>
          </w:tcPr>
          <w:p w14:paraId="152285BC" w14:textId="77777777" w:rsidR="002E0577" w:rsidRDefault="002E0577" w:rsidP="007209DE"/>
          <w:p w14:paraId="68713CC2" w14:textId="77777777" w:rsidR="002E0577" w:rsidRDefault="002E0577" w:rsidP="007209DE"/>
          <w:p w14:paraId="5B34D8E8" w14:textId="77777777" w:rsidR="002E0577" w:rsidRPr="00844C3F" w:rsidRDefault="002E0577" w:rsidP="007209DE">
            <w:pPr>
              <w:rPr>
                <w:rFonts w:ascii="Times New Roman" w:hAnsi="Times New Roman" w:cs="Times New Roman"/>
                <w:sz w:val="24"/>
                <w:szCs w:val="24"/>
              </w:rPr>
            </w:pPr>
          </w:p>
        </w:tc>
        <w:tc>
          <w:tcPr>
            <w:tcW w:w="2268" w:type="dxa"/>
            <w:vAlign w:val="center"/>
          </w:tcPr>
          <w:p w14:paraId="157234D8" w14:textId="77777777" w:rsidR="002E0577" w:rsidRDefault="002E0577" w:rsidP="00844C3F">
            <w:pPr>
              <w:jc w:val="center"/>
            </w:pPr>
          </w:p>
          <w:p w14:paraId="5961FFE9" w14:textId="77777777" w:rsidR="002E0577" w:rsidRDefault="002E0577" w:rsidP="00844C3F">
            <w:pPr>
              <w:jc w:val="center"/>
            </w:pPr>
          </w:p>
          <w:p w14:paraId="1FA36563" w14:textId="77777777" w:rsidR="002E0577" w:rsidRPr="00844C3F" w:rsidRDefault="002E0577" w:rsidP="00844C3F">
            <w:pPr>
              <w:jc w:val="center"/>
              <w:rPr>
                <w:rFonts w:ascii="Times New Roman" w:hAnsi="Times New Roman" w:cs="Times New Roman"/>
                <w:sz w:val="24"/>
                <w:szCs w:val="24"/>
              </w:rPr>
            </w:pPr>
          </w:p>
        </w:tc>
        <w:tc>
          <w:tcPr>
            <w:tcW w:w="3035" w:type="dxa"/>
            <w:vAlign w:val="center"/>
          </w:tcPr>
          <w:p w14:paraId="5A755557" w14:textId="77777777" w:rsidR="002E0577" w:rsidRDefault="002E0577" w:rsidP="00844C3F">
            <w:pPr>
              <w:jc w:val="center"/>
            </w:pPr>
          </w:p>
          <w:p w14:paraId="6257C44B" w14:textId="77777777" w:rsidR="002E0577" w:rsidRPr="00844C3F" w:rsidRDefault="002E0577" w:rsidP="00844C3F">
            <w:pPr>
              <w:jc w:val="center"/>
              <w:rPr>
                <w:rFonts w:ascii="Times New Roman" w:hAnsi="Times New Roman" w:cs="Times New Roman"/>
                <w:sz w:val="24"/>
                <w:szCs w:val="24"/>
              </w:rPr>
            </w:pPr>
          </w:p>
        </w:tc>
        <w:tc>
          <w:tcPr>
            <w:tcW w:w="3128" w:type="dxa"/>
            <w:vAlign w:val="center"/>
          </w:tcPr>
          <w:p w14:paraId="5C125B58" w14:textId="77777777" w:rsidR="002E0577" w:rsidRDefault="002E0577" w:rsidP="00844C3F">
            <w:pPr>
              <w:jc w:val="center"/>
              <w:rPr>
                <w:rFonts w:ascii="Times New Roman" w:hAnsi="Times New Roman" w:cs="Times New Roman"/>
                <w:sz w:val="24"/>
                <w:szCs w:val="24"/>
              </w:rPr>
            </w:pPr>
          </w:p>
        </w:tc>
        <w:tc>
          <w:tcPr>
            <w:tcW w:w="3254" w:type="dxa"/>
            <w:vAlign w:val="center"/>
          </w:tcPr>
          <w:p w14:paraId="4747209A" w14:textId="77777777" w:rsidR="002E0577" w:rsidRDefault="002E0577" w:rsidP="00844C3F">
            <w:pPr>
              <w:jc w:val="center"/>
              <w:rPr>
                <w:rFonts w:ascii="Times New Roman" w:hAnsi="Times New Roman" w:cs="Times New Roman"/>
                <w:sz w:val="24"/>
                <w:szCs w:val="24"/>
              </w:rPr>
            </w:pPr>
          </w:p>
          <w:p w14:paraId="0EBA816D" w14:textId="77777777" w:rsidR="002E0577" w:rsidRPr="00844C3F" w:rsidRDefault="002E0577" w:rsidP="00844C3F">
            <w:pPr>
              <w:jc w:val="center"/>
              <w:rPr>
                <w:rFonts w:ascii="Times New Roman" w:hAnsi="Times New Roman" w:cs="Times New Roman"/>
                <w:sz w:val="24"/>
                <w:szCs w:val="24"/>
              </w:rPr>
            </w:pPr>
          </w:p>
        </w:tc>
      </w:tr>
    </w:tbl>
    <w:p w14:paraId="1C03CA1C" w14:textId="77777777" w:rsidR="00C10E6D" w:rsidRDefault="00C10E6D" w:rsidP="00CC5C9D">
      <w:pPr>
        <w:pStyle w:val="Paraststmeklis"/>
        <w:spacing w:before="0" w:after="0"/>
        <w:jc w:val="both"/>
        <w:rPr>
          <w:sz w:val="22"/>
          <w:szCs w:val="22"/>
        </w:rPr>
      </w:pPr>
    </w:p>
    <w:p w14:paraId="07125713" w14:textId="057CB3A1" w:rsidR="00CC5C9D" w:rsidRPr="00BA560D" w:rsidRDefault="00CC5C9D" w:rsidP="00CC5C9D">
      <w:pPr>
        <w:pStyle w:val="Paraststmeklis"/>
        <w:spacing w:before="0" w:after="0"/>
        <w:jc w:val="both"/>
        <w:rPr>
          <w:sz w:val="22"/>
          <w:szCs w:val="22"/>
        </w:rPr>
      </w:pPr>
      <w:r w:rsidRPr="00BA560D">
        <w:rPr>
          <w:sz w:val="22"/>
          <w:szCs w:val="22"/>
        </w:rPr>
        <w:t xml:space="preserve">Parakstot šo pieteikumu </w:t>
      </w:r>
      <w:r w:rsidRPr="00BA560D">
        <w:rPr>
          <w:sz w:val="22"/>
          <w:szCs w:val="22"/>
          <w:u w:val="single"/>
        </w:rPr>
        <w:t>Pretendents apliecina</w:t>
      </w:r>
      <w:r w:rsidRPr="00BA560D">
        <w:rPr>
          <w:sz w:val="22"/>
          <w:szCs w:val="22"/>
        </w:rPr>
        <w:t>, ka</w:t>
      </w:r>
      <w:r w:rsidR="004356CF" w:rsidRPr="00BA560D">
        <w:rPr>
          <w:sz w:val="22"/>
          <w:szCs w:val="22"/>
        </w:rPr>
        <w:t>:</w:t>
      </w:r>
    </w:p>
    <w:p w14:paraId="65A31EE9" w14:textId="1AD4646B" w:rsidR="00CC5C9D" w:rsidRPr="00BA560D" w:rsidRDefault="00CC5C9D" w:rsidP="00BA560D">
      <w:pPr>
        <w:pStyle w:val="Paraststmeklis"/>
        <w:numPr>
          <w:ilvl w:val="0"/>
          <w:numId w:val="2"/>
        </w:numPr>
        <w:spacing w:before="0" w:after="0"/>
        <w:jc w:val="both"/>
        <w:rPr>
          <w:sz w:val="22"/>
          <w:szCs w:val="22"/>
        </w:rPr>
      </w:pPr>
      <w:r w:rsidRPr="00BA560D">
        <w:rPr>
          <w:sz w:val="22"/>
          <w:szCs w:val="22"/>
        </w:rPr>
        <w:t xml:space="preserve">ir iepazinies ar </w:t>
      </w:r>
      <w:r w:rsidR="006D5746" w:rsidRPr="00BA560D">
        <w:rPr>
          <w:sz w:val="22"/>
          <w:szCs w:val="22"/>
        </w:rPr>
        <w:t xml:space="preserve">izsoles par nekustamā īpašuma atsavināšanu un pirkuma līguma slēgšanas tiesību publisku piešķiršanu noteikumiem. </w:t>
      </w:r>
      <w:r w:rsidRPr="00BA560D">
        <w:rPr>
          <w:sz w:val="22"/>
          <w:szCs w:val="22"/>
        </w:rPr>
        <w:t>Pretenzijas un/ vai iebildumi par dokumentu saturu nav;</w:t>
      </w:r>
    </w:p>
    <w:p w14:paraId="3DE5B486" w14:textId="165B3D01" w:rsidR="00CC5C9D" w:rsidRPr="00BA560D" w:rsidRDefault="00CC5C9D" w:rsidP="00CC5C9D">
      <w:pPr>
        <w:pStyle w:val="Paraststmeklis"/>
        <w:numPr>
          <w:ilvl w:val="0"/>
          <w:numId w:val="2"/>
        </w:numPr>
        <w:spacing w:before="0" w:after="0"/>
        <w:jc w:val="both"/>
        <w:rPr>
          <w:sz w:val="22"/>
          <w:szCs w:val="22"/>
        </w:rPr>
      </w:pPr>
      <w:r w:rsidRPr="00BA560D">
        <w:rPr>
          <w:sz w:val="22"/>
          <w:szCs w:val="22"/>
        </w:rPr>
        <w:t xml:space="preserve">ir informēts, ka izsoles norise tiek organizēta </w:t>
      </w:r>
      <w:r w:rsidR="006D5746" w:rsidRPr="00BA560D">
        <w:rPr>
          <w:sz w:val="22"/>
          <w:szCs w:val="22"/>
        </w:rPr>
        <w:t xml:space="preserve">Tiesu administrācijas uzturētajā elektronisko izsoļu vietnē </w:t>
      </w:r>
      <w:hyperlink r:id="rId7" w:history="1">
        <w:r w:rsidR="006D5746" w:rsidRPr="00BA560D">
          <w:rPr>
            <w:rStyle w:val="Hipersaite"/>
            <w:sz w:val="22"/>
            <w:szCs w:val="22"/>
          </w:rPr>
          <w:t>https://www.izsoles.ta.gov.lv/</w:t>
        </w:r>
      </w:hyperlink>
      <w:r w:rsidRPr="00BA560D">
        <w:rPr>
          <w:sz w:val="22"/>
          <w:szCs w:val="22"/>
        </w:rPr>
        <w:t>;</w:t>
      </w:r>
    </w:p>
    <w:p w14:paraId="7E51E592" w14:textId="31EFD1AB" w:rsidR="005C062D" w:rsidRPr="005C062D" w:rsidRDefault="005C062D" w:rsidP="00CC5C9D">
      <w:pPr>
        <w:pStyle w:val="Paraststmeklis"/>
        <w:numPr>
          <w:ilvl w:val="0"/>
          <w:numId w:val="2"/>
        </w:numPr>
        <w:spacing w:before="0" w:after="0"/>
        <w:jc w:val="both"/>
        <w:rPr>
          <w:sz w:val="22"/>
          <w:szCs w:val="22"/>
        </w:rPr>
      </w:pPr>
      <w:r>
        <w:rPr>
          <w:bCs/>
          <w:sz w:val="22"/>
          <w:szCs w:val="22"/>
          <w:lang w:eastAsia="lv-LV"/>
        </w:rPr>
        <w:t xml:space="preserve">atbilst </w:t>
      </w:r>
      <w:r w:rsidRPr="0041679C">
        <w:rPr>
          <w:bCs/>
          <w:sz w:val="22"/>
          <w:szCs w:val="22"/>
          <w:lang w:eastAsia="lv-LV"/>
        </w:rPr>
        <w:t>Izsoles nolikuma 4.1.</w:t>
      </w:r>
      <w:r>
        <w:rPr>
          <w:bCs/>
          <w:sz w:val="22"/>
          <w:szCs w:val="22"/>
          <w:lang w:eastAsia="lv-LV"/>
        </w:rPr>
        <w:t>1.-4.1.8.</w:t>
      </w:r>
      <w:r w:rsidRPr="0041679C">
        <w:rPr>
          <w:bCs/>
          <w:sz w:val="22"/>
          <w:szCs w:val="22"/>
          <w:lang w:eastAsia="lv-LV"/>
        </w:rPr>
        <w:t>punkta prasībām</w:t>
      </w:r>
      <w:r w:rsidR="00C10E6D" w:rsidRPr="00C10E6D">
        <w:rPr>
          <w:sz w:val="22"/>
          <w:szCs w:val="22"/>
          <w:lang w:eastAsia="lv-LV"/>
        </w:rPr>
        <w:t xml:space="preserve"> </w:t>
      </w:r>
      <w:r w:rsidR="00C10E6D">
        <w:rPr>
          <w:sz w:val="22"/>
          <w:szCs w:val="22"/>
          <w:lang w:eastAsia="lv-LV"/>
        </w:rPr>
        <w:t>(</w:t>
      </w:r>
      <w:r w:rsidR="00C10E6D" w:rsidRPr="00C10E6D">
        <w:rPr>
          <w:i/>
          <w:iCs/>
          <w:sz w:val="22"/>
          <w:szCs w:val="22"/>
          <w:lang w:eastAsia="lv-LV"/>
        </w:rPr>
        <w:t>uz pieteikuma izsolei iesniegšanas dienu</w:t>
      </w:r>
      <w:r w:rsidR="00C10E6D">
        <w:rPr>
          <w:sz w:val="22"/>
          <w:szCs w:val="22"/>
          <w:lang w:eastAsia="lv-LV"/>
        </w:rPr>
        <w:t>)</w:t>
      </w:r>
      <w:r>
        <w:rPr>
          <w:bCs/>
          <w:sz w:val="22"/>
          <w:szCs w:val="22"/>
          <w:lang w:eastAsia="lv-LV"/>
        </w:rPr>
        <w:t>:</w:t>
      </w:r>
    </w:p>
    <w:p w14:paraId="4E97C00A" w14:textId="47916E6F" w:rsidR="0041679C" w:rsidRDefault="00BA560D" w:rsidP="005C062D">
      <w:pPr>
        <w:pStyle w:val="Paraststmeklis"/>
        <w:numPr>
          <w:ilvl w:val="0"/>
          <w:numId w:val="4"/>
        </w:numPr>
        <w:spacing w:before="0" w:after="0"/>
        <w:jc w:val="both"/>
        <w:rPr>
          <w:sz w:val="22"/>
          <w:szCs w:val="22"/>
        </w:rPr>
      </w:pPr>
      <w:r w:rsidRPr="00BA560D">
        <w:rPr>
          <w:sz w:val="22"/>
          <w:szCs w:val="22"/>
          <w:lang w:eastAsia="lv-LV"/>
        </w:rPr>
        <w:t xml:space="preserve">tam </w:t>
      </w:r>
      <w:r w:rsidRPr="0041679C">
        <w:rPr>
          <w:sz w:val="22"/>
          <w:szCs w:val="22"/>
        </w:rPr>
        <w:t>nav nenokārtotu parādsaistību pret LVM;</w:t>
      </w:r>
    </w:p>
    <w:p w14:paraId="13B503A0" w14:textId="04E8800D" w:rsidR="00BA560D" w:rsidRDefault="00BA560D" w:rsidP="005C062D">
      <w:pPr>
        <w:pStyle w:val="Paraststmeklis"/>
        <w:numPr>
          <w:ilvl w:val="0"/>
          <w:numId w:val="4"/>
        </w:numPr>
        <w:spacing w:before="0" w:after="0"/>
        <w:jc w:val="both"/>
        <w:rPr>
          <w:sz w:val="22"/>
          <w:szCs w:val="22"/>
        </w:rPr>
      </w:pPr>
      <w:r w:rsidRPr="0041679C">
        <w:rPr>
          <w:sz w:val="22"/>
          <w:szCs w:val="22"/>
        </w:rPr>
        <w:t>ir reģistrēt</w:t>
      </w:r>
      <w:r w:rsidRPr="005C062D">
        <w:rPr>
          <w:sz w:val="22"/>
          <w:szCs w:val="22"/>
        </w:rPr>
        <w:t>s</w:t>
      </w:r>
      <w:r w:rsidRPr="0041679C">
        <w:rPr>
          <w:sz w:val="22"/>
          <w:szCs w:val="22"/>
        </w:rPr>
        <w:t xml:space="preserve"> normatīvajos aktos noteiktajā kārtībā (</w:t>
      </w:r>
      <w:r w:rsidRPr="0041679C">
        <w:rPr>
          <w:i/>
          <w:sz w:val="22"/>
          <w:szCs w:val="22"/>
        </w:rPr>
        <w:t>attiecas uz juridisku personu</w:t>
      </w:r>
      <w:r w:rsidRPr="0041679C">
        <w:rPr>
          <w:sz w:val="22"/>
          <w:szCs w:val="22"/>
        </w:rPr>
        <w:t>);</w:t>
      </w:r>
    </w:p>
    <w:p w14:paraId="1B11DB7B" w14:textId="36BCFBA1" w:rsidR="00BA560D" w:rsidRPr="005C062D" w:rsidRDefault="00BA560D" w:rsidP="005C062D">
      <w:pPr>
        <w:pStyle w:val="Paraststmeklis"/>
        <w:numPr>
          <w:ilvl w:val="0"/>
          <w:numId w:val="4"/>
        </w:numPr>
        <w:spacing w:before="0" w:after="0"/>
        <w:jc w:val="both"/>
        <w:rPr>
          <w:sz w:val="22"/>
          <w:szCs w:val="22"/>
        </w:rPr>
      </w:pPr>
      <w:r w:rsidRPr="005C062D">
        <w:rPr>
          <w:sz w:val="22"/>
          <w:szCs w:val="22"/>
        </w:rPr>
        <w:t xml:space="preserve">tam </w:t>
      </w:r>
      <w:r w:rsidRPr="0041679C">
        <w:rPr>
          <w:sz w:val="22"/>
          <w:szCs w:val="22"/>
        </w:rPr>
        <w:t>nav nodokļu, tajā skaitā valsts sociālās apdrošināšanas iemaksu parādi Latvijā vai valstī, kurā t</w:t>
      </w:r>
      <w:r w:rsidRPr="005C062D">
        <w:rPr>
          <w:sz w:val="22"/>
          <w:szCs w:val="22"/>
        </w:rPr>
        <w:t xml:space="preserve">as </w:t>
      </w:r>
      <w:r w:rsidRPr="0041679C">
        <w:rPr>
          <w:sz w:val="22"/>
          <w:szCs w:val="22"/>
        </w:rPr>
        <w:t>reģistrēt</w:t>
      </w:r>
      <w:r w:rsidRPr="005C062D">
        <w:rPr>
          <w:sz w:val="22"/>
          <w:szCs w:val="22"/>
        </w:rPr>
        <w:t>s</w:t>
      </w:r>
      <w:r w:rsidRPr="0041679C">
        <w:rPr>
          <w:sz w:val="22"/>
          <w:szCs w:val="22"/>
        </w:rPr>
        <w:t>, kopsummā lielāki par 150 EUR katrā valstī</w:t>
      </w:r>
      <w:r w:rsidRPr="0041679C">
        <w:rPr>
          <w:bCs/>
          <w:sz w:val="22"/>
          <w:szCs w:val="22"/>
        </w:rPr>
        <w:t>;</w:t>
      </w:r>
    </w:p>
    <w:p w14:paraId="309CCF30" w14:textId="4739078D" w:rsidR="00BA560D" w:rsidRDefault="00BA560D" w:rsidP="005C062D">
      <w:pPr>
        <w:pStyle w:val="Paraststmeklis"/>
        <w:numPr>
          <w:ilvl w:val="0"/>
          <w:numId w:val="4"/>
        </w:numPr>
        <w:spacing w:before="0" w:after="0"/>
        <w:jc w:val="both"/>
        <w:rPr>
          <w:sz w:val="22"/>
          <w:szCs w:val="22"/>
        </w:rPr>
      </w:pPr>
      <w:r w:rsidRPr="005C062D">
        <w:rPr>
          <w:sz w:val="22"/>
          <w:szCs w:val="22"/>
        </w:rPr>
        <w:t xml:space="preserve">tam </w:t>
      </w:r>
      <w:r w:rsidRPr="0041679C">
        <w:rPr>
          <w:sz w:val="22"/>
          <w:szCs w:val="22"/>
        </w:rPr>
        <w:t>nav pasludināts maksātnespējas process, nav apturēta vai pārtraukta tās saimnieciskā darbība, nav uzsākta tiesvedība par tā bankrotu</w:t>
      </w:r>
      <w:r w:rsidRPr="005C062D">
        <w:rPr>
          <w:sz w:val="22"/>
          <w:szCs w:val="22"/>
        </w:rPr>
        <w:t>;</w:t>
      </w:r>
    </w:p>
    <w:p w14:paraId="7B8CA130" w14:textId="25CD3C49" w:rsidR="0041679C" w:rsidRDefault="00BA560D" w:rsidP="00C10E6D">
      <w:pPr>
        <w:pStyle w:val="Paraststmeklis"/>
        <w:numPr>
          <w:ilvl w:val="0"/>
          <w:numId w:val="4"/>
        </w:numPr>
        <w:spacing w:before="0" w:after="0"/>
        <w:jc w:val="both"/>
        <w:rPr>
          <w:sz w:val="22"/>
          <w:szCs w:val="22"/>
        </w:rPr>
      </w:pPr>
      <w:r w:rsidRPr="00C10E6D">
        <w:rPr>
          <w:sz w:val="22"/>
          <w:szCs w:val="22"/>
        </w:rPr>
        <w:t>tas</w:t>
      </w:r>
      <w:r w:rsidR="0041679C" w:rsidRPr="00C10E6D">
        <w:rPr>
          <w:sz w:val="22"/>
          <w:szCs w:val="22"/>
        </w:rPr>
        <w:t xml:space="preserve"> ir iemaksāji</w:t>
      </w:r>
      <w:r w:rsidRPr="00C10E6D">
        <w:rPr>
          <w:sz w:val="22"/>
          <w:szCs w:val="22"/>
        </w:rPr>
        <w:t>s</w:t>
      </w:r>
      <w:r w:rsidR="0041679C" w:rsidRPr="00C10E6D">
        <w:rPr>
          <w:sz w:val="22"/>
          <w:szCs w:val="22"/>
        </w:rPr>
        <w:t xml:space="preserve"> LVM kontā Nolikuma 6.punktā minēto dalībnieka reģistrācijas maksu un 7.punktā minēto nodrošinājumu, kā arī elektroniskās izsoles vietnes administratoram maksu par dalību izsolē normatīvajos aktos noteiktajā apmērā saskaņā ar elektronisko izsoļu vietnē reģistrētam lietotājam sagatavotajiem rēķiniem;</w:t>
      </w:r>
    </w:p>
    <w:p w14:paraId="5D10B59B" w14:textId="0BBE87BE" w:rsidR="0041679C" w:rsidRDefault="00BA560D" w:rsidP="00C10E6D">
      <w:pPr>
        <w:pStyle w:val="Paraststmeklis"/>
        <w:numPr>
          <w:ilvl w:val="0"/>
          <w:numId w:val="4"/>
        </w:numPr>
        <w:spacing w:before="0" w:after="0"/>
        <w:jc w:val="both"/>
        <w:rPr>
          <w:sz w:val="22"/>
          <w:szCs w:val="22"/>
        </w:rPr>
      </w:pPr>
      <w:r w:rsidRPr="00C10E6D">
        <w:rPr>
          <w:sz w:val="22"/>
          <w:szCs w:val="22"/>
        </w:rPr>
        <w:t>tas</w:t>
      </w:r>
      <w:r w:rsidR="0041679C" w:rsidRPr="00C10E6D">
        <w:rPr>
          <w:sz w:val="22"/>
          <w:szCs w:val="22"/>
        </w:rPr>
        <w:t xml:space="preserve"> (vai juridiskās personas valdes vai padomes loceklis, patiesā labuma guvējs, </w:t>
      </w:r>
      <w:proofErr w:type="spellStart"/>
      <w:r w:rsidR="0041679C" w:rsidRPr="00C10E6D">
        <w:rPr>
          <w:sz w:val="22"/>
          <w:szCs w:val="22"/>
        </w:rPr>
        <w:t>pārstāvēttiesīgā</w:t>
      </w:r>
      <w:proofErr w:type="spellEnd"/>
      <w:r w:rsidR="0041679C" w:rsidRPr="00C10E6D">
        <w:rPr>
          <w:sz w:val="22"/>
          <w:szCs w:val="22"/>
        </w:rPr>
        <w:t xml:space="preserve"> persona vai prokūrists, vai persona, kura ir pilnvarota pārstāvēt juridisko personu darbībās, kas saistītas ar filiāli) nav reģistrēt</w:t>
      </w:r>
      <w:r w:rsidRPr="00C10E6D">
        <w:rPr>
          <w:sz w:val="22"/>
          <w:szCs w:val="22"/>
        </w:rPr>
        <w:t>s</w:t>
      </w:r>
      <w:r w:rsidR="0041679C" w:rsidRPr="00C10E6D">
        <w:rPr>
          <w:sz w:val="22"/>
          <w:szCs w:val="22"/>
        </w:rPr>
        <w:t xml:space="preserve"> sankciju sarakstā; (</w:t>
      </w:r>
      <w:hyperlink r:id="rId8" w:history="1">
        <w:r w:rsidR="0041679C" w:rsidRPr="00C10E6D">
          <w:rPr>
            <w:color w:val="0000FF"/>
            <w:sz w:val="22"/>
            <w:szCs w:val="22"/>
            <w:u w:val="single"/>
          </w:rPr>
          <w:t>https://sankcijas.fid.gov.lv/</w:t>
        </w:r>
      </w:hyperlink>
      <w:r w:rsidR="0041679C" w:rsidRPr="00C10E6D">
        <w:rPr>
          <w:sz w:val="22"/>
          <w:szCs w:val="22"/>
        </w:rPr>
        <w:t xml:space="preserve">); </w:t>
      </w:r>
    </w:p>
    <w:p w14:paraId="6513EF39" w14:textId="0C4970BD" w:rsidR="0041679C" w:rsidRDefault="00BA560D" w:rsidP="00C10E6D">
      <w:pPr>
        <w:pStyle w:val="Paraststmeklis"/>
        <w:numPr>
          <w:ilvl w:val="0"/>
          <w:numId w:val="4"/>
        </w:numPr>
        <w:spacing w:before="0" w:after="0"/>
        <w:jc w:val="both"/>
        <w:rPr>
          <w:sz w:val="22"/>
          <w:szCs w:val="22"/>
        </w:rPr>
      </w:pPr>
      <w:r w:rsidRPr="00BA560D">
        <w:rPr>
          <w:sz w:val="22"/>
          <w:szCs w:val="22"/>
        </w:rPr>
        <w:t>tas</w:t>
      </w:r>
      <w:r w:rsidRPr="00C10E6D">
        <w:rPr>
          <w:sz w:val="22"/>
          <w:szCs w:val="22"/>
        </w:rPr>
        <w:t xml:space="preserve"> </w:t>
      </w:r>
      <w:r w:rsidR="0041679C" w:rsidRPr="00C10E6D">
        <w:rPr>
          <w:sz w:val="22"/>
          <w:szCs w:val="22"/>
        </w:rPr>
        <w:t>nav reģistrēt</w:t>
      </w:r>
      <w:r w:rsidRPr="00C10E6D">
        <w:rPr>
          <w:sz w:val="22"/>
          <w:szCs w:val="22"/>
        </w:rPr>
        <w:t xml:space="preserve">s </w:t>
      </w:r>
      <w:r w:rsidR="0041679C" w:rsidRPr="00C10E6D">
        <w:rPr>
          <w:sz w:val="22"/>
          <w:szCs w:val="22"/>
        </w:rPr>
        <w:t>valstīs, kas nodokļu nolūkos nesadarbojas Eiropas Savienības cīņā pret izvairīšanos no nodokļu maksāšanas un nodokļu apiešanas</w:t>
      </w:r>
      <w:r w:rsidRPr="00C10E6D">
        <w:rPr>
          <w:sz w:val="22"/>
          <w:szCs w:val="22"/>
        </w:rPr>
        <w:t>, ta</w:t>
      </w:r>
      <w:r w:rsidR="0041679C" w:rsidRPr="00C10E6D">
        <w:rPr>
          <w:sz w:val="22"/>
          <w:szCs w:val="22"/>
        </w:rPr>
        <w:t>jā skaitā valstīs, kuras konkrētā termiņā nav izpildījušas savas saistības ievērot labas nodokļu pārvaldības kritērijus, un valstīs, kuras ir atteikušās to darīt (</w:t>
      </w:r>
      <w:hyperlink r:id="rId9" w:anchor="countries" w:history="1">
        <w:r w:rsidR="0041679C" w:rsidRPr="00C10E6D">
          <w:rPr>
            <w:color w:val="0000FF"/>
            <w:sz w:val="22"/>
            <w:szCs w:val="22"/>
            <w:u w:val="single"/>
          </w:rPr>
          <w:t>https://www.consilium.europa.eu/lv/policies/eu-list-of-non-cooperative-jurisdictions/#countries</w:t>
        </w:r>
      </w:hyperlink>
      <w:r w:rsidR="0041679C" w:rsidRPr="00C10E6D">
        <w:rPr>
          <w:sz w:val="22"/>
          <w:szCs w:val="22"/>
        </w:rPr>
        <w:t>);</w:t>
      </w:r>
    </w:p>
    <w:p w14:paraId="226995CD" w14:textId="77777777" w:rsidR="00BA560D" w:rsidRDefault="00BA560D" w:rsidP="00C10E6D">
      <w:pPr>
        <w:pStyle w:val="Paraststmeklis"/>
        <w:numPr>
          <w:ilvl w:val="0"/>
          <w:numId w:val="4"/>
        </w:numPr>
        <w:spacing w:before="0" w:after="0"/>
        <w:jc w:val="both"/>
        <w:rPr>
          <w:sz w:val="22"/>
          <w:szCs w:val="22"/>
        </w:rPr>
      </w:pPr>
      <w:r w:rsidRPr="00C10E6D">
        <w:rPr>
          <w:sz w:val="22"/>
          <w:szCs w:val="22"/>
        </w:rPr>
        <w:lastRenderedPageBreak/>
        <w:t xml:space="preserve">tas </w:t>
      </w:r>
      <w:r w:rsidR="0041679C" w:rsidRPr="00C10E6D">
        <w:rPr>
          <w:sz w:val="22"/>
          <w:szCs w:val="22"/>
        </w:rPr>
        <w:t>nav ārzonās reģistrēts komersants</w:t>
      </w:r>
      <w:r w:rsidRPr="00C10E6D">
        <w:rPr>
          <w:sz w:val="22"/>
          <w:szCs w:val="22"/>
        </w:rPr>
        <w:t xml:space="preserve"> </w:t>
      </w:r>
      <w:r w:rsidR="0041679C" w:rsidRPr="00C10E6D">
        <w:rPr>
          <w:sz w:val="22"/>
          <w:szCs w:val="22"/>
        </w:rPr>
        <w:t>(</w:t>
      </w:r>
      <w:hyperlink r:id="rId10" w:history="1">
        <w:r w:rsidR="0041679C" w:rsidRPr="00C10E6D">
          <w:rPr>
            <w:color w:val="0000FF"/>
            <w:sz w:val="22"/>
            <w:szCs w:val="22"/>
            <w:u w:val="single"/>
          </w:rPr>
          <w:t>https://www.iub.gov.lv/lv/media/7677/download?attachment</w:t>
        </w:r>
      </w:hyperlink>
      <w:r w:rsidR="0041679C" w:rsidRPr="00C10E6D">
        <w:rPr>
          <w:sz w:val="22"/>
          <w:szCs w:val="22"/>
        </w:rPr>
        <w:t>)</w:t>
      </w:r>
      <w:r w:rsidRPr="00C10E6D">
        <w:rPr>
          <w:sz w:val="22"/>
          <w:szCs w:val="22"/>
        </w:rPr>
        <w:t>;</w:t>
      </w:r>
    </w:p>
    <w:p w14:paraId="40D5395B" w14:textId="77777777" w:rsidR="00C10E6D" w:rsidRPr="00BA560D" w:rsidRDefault="00C10E6D" w:rsidP="00C10E6D">
      <w:pPr>
        <w:pStyle w:val="Paraststmeklis"/>
        <w:numPr>
          <w:ilvl w:val="0"/>
          <w:numId w:val="2"/>
        </w:numPr>
        <w:spacing w:before="0" w:after="0"/>
        <w:jc w:val="both"/>
        <w:rPr>
          <w:sz w:val="22"/>
          <w:szCs w:val="22"/>
        </w:rPr>
      </w:pPr>
      <w:r w:rsidRPr="00BA560D">
        <w:rPr>
          <w:sz w:val="22"/>
          <w:szCs w:val="22"/>
        </w:rPr>
        <w:t>gadījumā, ja tas izsoles rezultātā iegūs nekustamā īpašuma pirkuma līguma slēgšanas tiesības, tam ir tiesības iegūt īpašumā nekustamo īpašumu</w:t>
      </w:r>
      <w:r w:rsidRPr="00BA560D">
        <w:rPr>
          <w:sz w:val="22"/>
          <w:szCs w:val="22"/>
          <w:lang w:eastAsia="lv-LV"/>
        </w:rPr>
        <w:t xml:space="preserve"> </w:t>
      </w:r>
      <w:r w:rsidRPr="0041679C">
        <w:rPr>
          <w:sz w:val="22"/>
          <w:szCs w:val="22"/>
          <w:lang w:eastAsia="lv-LV"/>
        </w:rPr>
        <w:t>Latvijas Republikā saskaņā ar spēkā esošajiem normatīvajiem aktiem</w:t>
      </w:r>
      <w:r w:rsidRPr="00BA560D">
        <w:rPr>
          <w:sz w:val="22"/>
          <w:szCs w:val="22"/>
          <w:lang w:eastAsia="lv-LV"/>
        </w:rPr>
        <w:t>;</w:t>
      </w:r>
    </w:p>
    <w:p w14:paraId="758F4582" w14:textId="77777777" w:rsidR="00C10E6D" w:rsidRDefault="00C10E6D" w:rsidP="00C10E6D">
      <w:pPr>
        <w:pStyle w:val="Paraststmeklis"/>
        <w:numPr>
          <w:ilvl w:val="0"/>
          <w:numId w:val="2"/>
        </w:numPr>
        <w:spacing w:before="0" w:after="0"/>
        <w:jc w:val="both"/>
        <w:rPr>
          <w:sz w:val="22"/>
          <w:szCs w:val="22"/>
        </w:rPr>
      </w:pPr>
      <w:r>
        <w:rPr>
          <w:sz w:val="22"/>
          <w:szCs w:val="22"/>
          <w:lang w:eastAsia="ar-SA"/>
        </w:rPr>
        <w:t>informēts un apzinās, ka LVM kā izsoles rīkotājs apstrādās pieteikumā un pievienotajos dokumentos iekļautos personas datus tādā apjomā, kādā nepieciešams personas datu apstrādes mērķa realizācijai, lai veiktu nepieciešamās darbības izsoles procesa nodrošināšanai un pirkuma līguma slēgšanai;</w:t>
      </w:r>
    </w:p>
    <w:p w14:paraId="146A731B" w14:textId="74266F1A" w:rsidR="00C10E6D" w:rsidRDefault="00C10E6D" w:rsidP="00C10E6D">
      <w:pPr>
        <w:pStyle w:val="Paraststmeklis"/>
        <w:numPr>
          <w:ilvl w:val="0"/>
          <w:numId w:val="2"/>
        </w:numPr>
        <w:spacing w:before="0" w:after="0"/>
        <w:jc w:val="both"/>
        <w:rPr>
          <w:sz w:val="22"/>
          <w:szCs w:val="22"/>
        </w:rPr>
      </w:pPr>
      <w:r w:rsidRPr="00C10E6D">
        <w:rPr>
          <w:sz w:val="22"/>
          <w:szCs w:val="22"/>
        </w:rPr>
        <w:t xml:space="preserve">tas nodrošinās </w:t>
      </w:r>
      <w:r w:rsidRPr="00C10E6D">
        <w:rPr>
          <w:sz w:val="22"/>
          <w:szCs w:val="22"/>
          <w:lang w:eastAsia="ar-SA"/>
        </w:rPr>
        <w:t>iespēju izsoles gaitā parakstīt dokumentus ar drošu elektronisko parakstu</w:t>
      </w:r>
      <w:r>
        <w:rPr>
          <w:sz w:val="22"/>
          <w:szCs w:val="22"/>
          <w:lang w:eastAsia="ar-SA"/>
        </w:rPr>
        <w:t>.</w:t>
      </w:r>
    </w:p>
    <w:p w14:paraId="361D1D61" w14:textId="77777777" w:rsidR="00556C21" w:rsidRDefault="00556C21" w:rsidP="00844C3F">
      <w:pPr>
        <w:spacing w:after="0" w:line="240" w:lineRule="auto"/>
        <w:jc w:val="both"/>
        <w:rPr>
          <w:rFonts w:ascii="Times New Roman" w:hAnsi="Times New Roman" w:cs="Times New Roman"/>
        </w:rPr>
      </w:pPr>
    </w:p>
    <w:p w14:paraId="78401B94" w14:textId="77777777" w:rsidR="00C10E6D" w:rsidRDefault="00C10E6D" w:rsidP="00844C3F">
      <w:pPr>
        <w:spacing w:after="0" w:line="240" w:lineRule="auto"/>
        <w:jc w:val="both"/>
        <w:rPr>
          <w:rFonts w:ascii="Times New Roman" w:hAnsi="Times New Roman" w:cs="Times New Roman"/>
        </w:rPr>
      </w:pPr>
    </w:p>
    <w:p w14:paraId="103F66A0" w14:textId="77777777" w:rsidR="00C10E6D" w:rsidRDefault="00C10E6D" w:rsidP="00844C3F">
      <w:pPr>
        <w:spacing w:after="0" w:line="240" w:lineRule="auto"/>
        <w:jc w:val="both"/>
        <w:rPr>
          <w:rFonts w:ascii="Times New Roman" w:hAnsi="Times New Roman" w:cs="Times New Roman"/>
        </w:rPr>
      </w:pPr>
    </w:p>
    <w:p w14:paraId="11B5C614" w14:textId="77777777" w:rsidR="00C10E6D" w:rsidRPr="00C10E6D" w:rsidRDefault="00C10E6D" w:rsidP="00844C3F">
      <w:pPr>
        <w:spacing w:after="0" w:line="240" w:lineRule="auto"/>
        <w:jc w:val="both"/>
        <w:rPr>
          <w:rFonts w:ascii="Times New Roman" w:hAnsi="Times New Roman" w:cs="Times New Roman"/>
          <w:sz w:val="24"/>
          <w:szCs w:val="24"/>
        </w:rPr>
      </w:pPr>
    </w:p>
    <w:p w14:paraId="15FCDF44" w14:textId="637B3379" w:rsidR="00556C21" w:rsidRPr="00C10E6D" w:rsidRDefault="00556C21" w:rsidP="00844C3F">
      <w:pPr>
        <w:spacing w:after="0" w:line="240" w:lineRule="auto"/>
        <w:jc w:val="both"/>
        <w:rPr>
          <w:rFonts w:ascii="Times New Roman" w:hAnsi="Times New Roman" w:cs="Times New Roman"/>
          <w:sz w:val="24"/>
          <w:szCs w:val="24"/>
        </w:rPr>
      </w:pPr>
      <w:r w:rsidRPr="00C10E6D">
        <w:rPr>
          <w:rFonts w:ascii="Times New Roman" w:hAnsi="Times New Roman" w:cs="Times New Roman"/>
          <w:sz w:val="24"/>
          <w:szCs w:val="24"/>
        </w:rPr>
        <w:t xml:space="preserve">______________________________ </w:t>
      </w:r>
      <w:r w:rsidR="006D1629">
        <w:rPr>
          <w:rFonts w:ascii="Times New Roman" w:hAnsi="Times New Roman" w:cs="Times New Roman"/>
          <w:sz w:val="24"/>
          <w:szCs w:val="24"/>
        </w:rPr>
        <w:t xml:space="preserve">                                                          </w:t>
      </w:r>
      <w:r w:rsidRPr="00C10E6D">
        <w:rPr>
          <w:rFonts w:ascii="Times New Roman" w:hAnsi="Times New Roman" w:cs="Times New Roman"/>
          <w:sz w:val="24"/>
          <w:szCs w:val="24"/>
        </w:rPr>
        <w:t>(___________________________________)</w:t>
      </w:r>
    </w:p>
    <w:p w14:paraId="210E030E" w14:textId="421F1915" w:rsidR="00556C21" w:rsidRPr="00C10E6D" w:rsidRDefault="006D1629" w:rsidP="00844C3F">
      <w:pPr>
        <w:spacing w:after="0" w:line="240" w:lineRule="auto"/>
        <w:jc w:val="both"/>
        <w:rPr>
          <w:rFonts w:ascii="Times New Roman" w:hAnsi="Times New Roman" w:cs="Times New Roman"/>
          <w:sz w:val="24"/>
          <w:szCs w:val="24"/>
        </w:rPr>
      </w:pPr>
      <w:r w:rsidRPr="006D1629">
        <w:rPr>
          <w:rFonts w:ascii="Times New Roman" w:hAnsi="Times New Roman" w:cs="Times New Roman"/>
          <w:i/>
          <w:iCs/>
          <w:sz w:val="24"/>
          <w:szCs w:val="24"/>
        </w:rPr>
        <w:t>Pretendent</w:t>
      </w:r>
      <w:r>
        <w:rPr>
          <w:rFonts w:ascii="Times New Roman" w:hAnsi="Times New Roman" w:cs="Times New Roman"/>
          <w:i/>
          <w:iCs/>
          <w:sz w:val="24"/>
          <w:szCs w:val="24"/>
        </w:rPr>
        <w:t>a</w:t>
      </w:r>
      <w:r w:rsidRPr="006D1629">
        <w:rPr>
          <w:rFonts w:ascii="Times New Roman" w:hAnsi="Times New Roman" w:cs="Times New Roman"/>
          <w:i/>
          <w:iCs/>
          <w:sz w:val="24"/>
          <w:szCs w:val="24"/>
        </w:rPr>
        <w:t>/Pretendenta pārstāv</w:t>
      </w:r>
      <w:r>
        <w:rPr>
          <w:rFonts w:ascii="Times New Roman" w:hAnsi="Times New Roman" w:cs="Times New Roman"/>
          <w:i/>
          <w:iCs/>
          <w:sz w:val="24"/>
          <w:szCs w:val="24"/>
        </w:rPr>
        <w:t>ja p</w:t>
      </w:r>
      <w:r w:rsidR="009E3FA8" w:rsidRPr="00C10E6D">
        <w:rPr>
          <w:rFonts w:ascii="Times New Roman" w:hAnsi="Times New Roman" w:cs="Times New Roman"/>
          <w:i/>
          <w:iCs/>
          <w:sz w:val="24"/>
          <w:szCs w:val="24"/>
        </w:rPr>
        <w:t>araksts</w:t>
      </w:r>
      <w:r w:rsidR="009E3FA8" w:rsidRPr="00C10E6D">
        <w:rPr>
          <w:rFonts w:ascii="Times New Roman" w:hAnsi="Times New Roman" w:cs="Times New Roman"/>
          <w:i/>
          <w:iCs/>
          <w:sz w:val="24"/>
          <w:szCs w:val="24"/>
        </w:rPr>
        <w:tab/>
      </w:r>
      <w:r w:rsidR="009E3FA8" w:rsidRPr="00C10E6D">
        <w:rPr>
          <w:rFonts w:ascii="Times New Roman" w:hAnsi="Times New Roman" w:cs="Times New Roman"/>
          <w:sz w:val="24"/>
          <w:szCs w:val="24"/>
        </w:rPr>
        <w:tab/>
      </w:r>
      <w:r w:rsidR="00556C21" w:rsidRPr="00C10E6D">
        <w:rPr>
          <w:rFonts w:ascii="Times New Roman" w:hAnsi="Times New Roman" w:cs="Times New Roman"/>
          <w:sz w:val="24"/>
          <w:szCs w:val="24"/>
        </w:rPr>
        <w:tab/>
      </w:r>
      <w:r w:rsidR="00556C21" w:rsidRPr="00C10E6D">
        <w:rPr>
          <w:rFonts w:ascii="Times New Roman" w:hAnsi="Times New Roman" w:cs="Times New Roman"/>
          <w:sz w:val="24"/>
          <w:szCs w:val="24"/>
        </w:rPr>
        <w:tab/>
        <w:t xml:space="preserve">   </w:t>
      </w:r>
      <w:r w:rsidR="00556C21" w:rsidRPr="00C10E6D">
        <w:rPr>
          <w:rFonts w:ascii="Times New Roman" w:hAnsi="Times New Roman" w:cs="Times New Roman"/>
          <w:sz w:val="24"/>
          <w:szCs w:val="24"/>
        </w:rPr>
        <w:tab/>
      </w:r>
      <w:r w:rsidR="00892AB4" w:rsidRPr="00C10E6D">
        <w:rPr>
          <w:rFonts w:ascii="Times New Roman" w:hAnsi="Times New Roman" w:cs="Times New Roman"/>
          <w:i/>
          <w:iCs/>
          <w:sz w:val="24"/>
          <w:szCs w:val="24"/>
        </w:rPr>
        <w:t>Paraksta atšifrējums.</w:t>
      </w:r>
      <w:r w:rsidR="00892AB4" w:rsidRPr="00C10E6D">
        <w:rPr>
          <w:rFonts w:ascii="Times New Roman" w:hAnsi="Times New Roman" w:cs="Times New Roman"/>
          <w:sz w:val="24"/>
          <w:szCs w:val="24"/>
        </w:rPr>
        <w:t xml:space="preserve"> </w:t>
      </w:r>
      <w:r w:rsidR="009E3FA8" w:rsidRPr="00C10E6D">
        <w:rPr>
          <w:rFonts w:ascii="Times New Roman" w:hAnsi="Times New Roman" w:cs="Times New Roman"/>
          <w:i/>
          <w:iCs/>
          <w:sz w:val="24"/>
          <w:szCs w:val="24"/>
        </w:rPr>
        <w:t>Vārds/Uzvārds</w:t>
      </w:r>
    </w:p>
    <w:p w14:paraId="086CFC4F" w14:textId="77777777" w:rsidR="00892AB4" w:rsidRDefault="00892AB4" w:rsidP="00892AB4">
      <w:pPr>
        <w:rPr>
          <w:rFonts w:ascii="Times New Roman" w:hAnsi="Times New Roman" w:cs="Times New Roman"/>
        </w:rPr>
      </w:pPr>
    </w:p>
    <w:p w14:paraId="77982CD0" w14:textId="77777777" w:rsidR="00F31AC2" w:rsidRPr="00BA560D" w:rsidRDefault="00F31AC2" w:rsidP="00892AB4">
      <w:pPr>
        <w:rPr>
          <w:rFonts w:ascii="Times New Roman" w:hAnsi="Times New Roman" w:cs="Times New Roman"/>
        </w:rPr>
      </w:pPr>
    </w:p>
    <w:p w14:paraId="5F7F1BBC" w14:textId="3E1217FD" w:rsidR="00892AB4" w:rsidRPr="00892AB4" w:rsidRDefault="00892AB4" w:rsidP="00892AB4">
      <w:pPr>
        <w:rPr>
          <w:rFonts w:ascii="Times New Roman" w:hAnsi="Times New Roman" w:cs="Times New Roman"/>
          <w:i/>
          <w:iCs/>
          <w:sz w:val="20"/>
          <w:szCs w:val="20"/>
        </w:rPr>
      </w:pPr>
      <w:r w:rsidRPr="00892AB4">
        <w:rPr>
          <w:rFonts w:ascii="Times New Roman" w:hAnsi="Times New Roman" w:cs="Times New Roman"/>
          <w:i/>
          <w:iCs/>
          <w:sz w:val="20"/>
          <w:szCs w:val="20"/>
        </w:rPr>
        <w:t>Pretendents/Pretendenta pārstāvis</w:t>
      </w:r>
      <w:r w:rsidR="006D1629">
        <w:rPr>
          <w:rFonts w:ascii="Times New Roman" w:hAnsi="Times New Roman" w:cs="Times New Roman"/>
          <w:i/>
          <w:iCs/>
          <w:sz w:val="20"/>
          <w:szCs w:val="20"/>
        </w:rPr>
        <w:t xml:space="preserve"> </w:t>
      </w:r>
      <w:r w:rsidR="006D1629" w:rsidRPr="00892AB4">
        <w:rPr>
          <w:rFonts w:ascii="Times New Roman" w:hAnsi="Times New Roman" w:cs="Times New Roman"/>
          <w:i/>
          <w:iCs/>
          <w:sz w:val="20"/>
          <w:szCs w:val="20"/>
        </w:rPr>
        <w:t>(juridiskai personai</w:t>
      </w:r>
      <w:r w:rsidRPr="00892AB4">
        <w:rPr>
          <w:rFonts w:ascii="Times New Roman" w:hAnsi="Times New Roman" w:cs="Times New Roman"/>
          <w:i/>
          <w:iCs/>
          <w:sz w:val="20"/>
          <w:szCs w:val="20"/>
        </w:rPr>
        <w:t xml:space="preserve"> </w:t>
      </w:r>
      <w:r w:rsidR="00C10E6D">
        <w:rPr>
          <w:rFonts w:ascii="Times New Roman" w:hAnsi="Times New Roman" w:cs="Times New Roman"/>
          <w:i/>
          <w:iCs/>
          <w:sz w:val="20"/>
          <w:szCs w:val="20"/>
        </w:rPr>
        <w:t xml:space="preserve">ar </w:t>
      </w:r>
      <w:r w:rsidR="006D1629">
        <w:rPr>
          <w:rFonts w:ascii="Times New Roman" w:hAnsi="Times New Roman" w:cs="Times New Roman"/>
          <w:i/>
          <w:iCs/>
          <w:sz w:val="20"/>
          <w:szCs w:val="20"/>
        </w:rPr>
        <w:t xml:space="preserve">publiski reģistrētām pārstāvības </w:t>
      </w:r>
      <w:r w:rsidR="00C10E6D">
        <w:rPr>
          <w:rFonts w:ascii="Times New Roman" w:hAnsi="Times New Roman" w:cs="Times New Roman"/>
          <w:i/>
          <w:iCs/>
          <w:sz w:val="20"/>
          <w:szCs w:val="20"/>
        </w:rPr>
        <w:t>tiesībām</w:t>
      </w:r>
      <w:r w:rsidRPr="00892AB4">
        <w:rPr>
          <w:rFonts w:ascii="Times New Roman" w:hAnsi="Times New Roman" w:cs="Times New Roman"/>
          <w:i/>
          <w:iCs/>
          <w:sz w:val="20"/>
          <w:szCs w:val="20"/>
        </w:rPr>
        <w:t xml:space="preserve">) </w:t>
      </w:r>
      <w:r w:rsidR="006D1629">
        <w:rPr>
          <w:rFonts w:ascii="Times New Roman" w:hAnsi="Times New Roman" w:cs="Times New Roman"/>
          <w:i/>
          <w:iCs/>
          <w:sz w:val="20"/>
          <w:szCs w:val="20"/>
        </w:rPr>
        <w:t xml:space="preserve">vai tā pilnvarotā persona (pieteikumam pievienojot pilnvarojuma dokumentu) </w:t>
      </w:r>
      <w:r w:rsidRPr="00892AB4">
        <w:rPr>
          <w:rFonts w:ascii="Times New Roman" w:hAnsi="Times New Roman" w:cs="Times New Roman"/>
          <w:i/>
          <w:iCs/>
          <w:sz w:val="20"/>
          <w:szCs w:val="20"/>
        </w:rPr>
        <w:t>pieteikumu paraksta ar drošu elektronisko parakstu un laika zīmogu vai pašrocīgi</w:t>
      </w:r>
      <w:r w:rsidR="00BA560D">
        <w:rPr>
          <w:rFonts w:ascii="Times New Roman" w:hAnsi="Times New Roman" w:cs="Times New Roman"/>
          <w:i/>
          <w:iCs/>
          <w:sz w:val="20"/>
          <w:szCs w:val="20"/>
        </w:rPr>
        <w:t xml:space="preserve"> (pēc saviem ieskaitiem)</w:t>
      </w:r>
      <w:r w:rsidRPr="00892AB4">
        <w:rPr>
          <w:rFonts w:ascii="Times New Roman" w:hAnsi="Times New Roman" w:cs="Times New Roman"/>
          <w:i/>
          <w:iCs/>
          <w:sz w:val="20"/>
          <w:szCs w:val="20"/>
        </w:rPr>
        <w:t>.</w:t>
      </w:r>
    </w:p>
    <w:p w14:paraId="1E575AA7" w14:textId="77777777" w:rsidR="00892AB4" w:rsidRPr="00892AB4" w:rsidRDefault="00892AB4" w:rsidP="00892AB4">
      <w:pPr>
        <w:rPr>
          <w:rFonts w:ascii="Times New Roman" w:hAnsi="Times New Roman" w:cs="Times New Roman"/>
          <w:i/>
          <w:iCs/>
          <w:sz w:val="20"/>
          <w:szCs w:val="20"/>
        </w:rPr>
      </w:pPr>
      <w:r w:rsidRPr="00892AB4">
        <w:rPr>
          <w:rFonts w:ascii="Times New Roman" w:hAnsi="Times New Roman" w:cs="Times New Roman"/>
          <w:i/>
          <w:iCs/>
          <w:sz w:val="20"/>
          <w:szCs w:val="20"/>
        </w:rPr>
        <w:t xml:space="preserve">Dokumenta parakstīšanas datums ir pēdējā pievienotā droša elektroniskā paraksta un tā laika zīmoga datums. </w:t>
      </w:r>
    </w:p>
    <w:p w14:paraId="4EFF3586" w14:textId="77777777" w:rsidR="00892AB4" w:rsidRDefault="00892AB4">
      <w:pPr>
        <w:rPr>
          <w:rFonts w:ascii="Times New Roman" w:hAnsi="Times New Roman" w:cs="Times New Roman"/>
          <w:sz w:val="24"/>
          <w:szCs w:val="24"/>
        </w:rPr>
      </w:pPr>
    </w:p>
    <w:sectPr w:rsidR="00892AB4" w:rsidSect="00556C2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018" w14:textId="77777777" w:rsidR="00BA560D" w:rsidRDefault="00BA560D" w:rsidP="00BA560D">
      <w:pPr>
        <w:spacing w:after="0" w:line="240" w:lineRule="auto"/>
      </w:pPr>
      <w:r>
        <w:separator/>
      </w:r>
    </w:p>
  </w:endnote>
  <w:endnote w:type="continuationSeparator" w:id="0">
    <w:p w14:paraId="68EF3E24" w14:textId="77777777" w:rsidR="00BA560D" w:rsidRDefault="00BA560D" w:rsidP="00BA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2665" w14:textId="77777777" w:rsidR="00BA560D" w:rsidRDefault="00BA560D" w:rsidP="00BA560D">
      <w:pPr>
        <w:spacing w:after="0" w:line="240" w:lineRule="auto"/>
      </w:pPr>
      <w:r>
        <w:separator/>
      </w:r>
    </w:p>
  </w:footnote>
  <w:footnote w:type="continuationSeparator" w:id="0">
    <w:p w14:paraId="08D8B970" w14:textId="77777777" w:rsidR="00BA560D" w:rsidRDefault="00BA560D" w:rsidP="00BA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80F"/>
    <w:multiLevelType w:val="hybridMultilevel"/>
    <w:tmpl w:val="70F25FCC"/>
    <w:lvl w:ilvl="0" w:tplc="E0D60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1F23501"/>
    <w:multiLevelType w:val="hybridMultilevel"/>
    <w:tmpl w:val="CE90E690"/>
    <w:lvl w:ilvl="0" w:tplc="0484BF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AD1A5C"/>
    <w:multiLevelType w:val="hybridMultilevel"/>
    <w:tmpl w:val="9D5099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5759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215551">
    <w:abstractNumId w:val="3"/>
  </w:num>
  <w:num w:numId="2" w16cid:durableId="561990374">
    <w:abstractNumId w:val="2"/>
  </w:num>
  <w:num w:numId="3" w16cid:durableId="886452773">
    <w:abstractNumId w:val="1"/>
  </w:num>
  <w:num w:numId="4" w16cid:durableId="80832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3F"/>
    <w:rsid w:val="00030FB4"/>
    <w:rsid w:val="00032A51"/>
    <w:rsid w:val="00036BA4"/>
    <w:rsid w:val="00053917"/>
    <w:rsid w:val="00097103"/>
    <w:rsid w:val="000B2E9D"/>
    <w:rsid w:val="00104BA2"/>
    <w:rsid w:val="00161627"/>
    <w:rsid w:val="00171387"/>
    <w:rsid w:val="001F1361"/>
    <w:rsid w:val="00236DA9"/>
    <w:rsid w:val="002D36CA"/>
    <w:rsid w:val="002E0577"/>
    <w:rsid w:val="003150C3"/>
    <w:rsid w:val="00405425"/>
    <w:rsid w:val="0041679C"/>
    <w:rsid w:val="004356CF"/>
    <w:rsid w:val="004663C5"/>
    <w:rsid w:val="00480A95"/>
    <w:rsid w:val="00483466"/>
    <w:rsid w:val="00487FA1"/>
    <w:rsid w:val="004D631F"/>
    <w:rsid w:val="00526CA0"/>
    <w:rsid w:val="00556C21"/>
    <w:rsid w:val="0055724C"/>
    <w:rsid w:val="00565085"/>
    <w:rsid w:val="0057624F"/>
    <w:rsid w:val="005C062D"/>
    <w:rsid w:val="005F26FF"/>
    <w:rsid w:val="005F514B"/>
    <w:rsid w:val="0062130C"/>
    <w:rsid w:val="00685290"/>
    <w:rsid w:val="0069552F"/>
    <w:rsid w:val="006D0AC6"/>
    <w:rsid w:val="006D1629"/>
    <w:rsid w:val="006D43C3"/>
    <w:rsid w:val="006D5746"/>
    <w:rsid w:val="007209DE"/>
    <w:rsid w:val="00765CC1"/>
    <w:rsid w:val="00771E77"/>
    <w:rsid w:val="00777380"/>
    <w:rsid w:val="00797341"/>
    <w:rsid w:val="007F132F"/>
    <w:rsid w:val="00805828"/>
    <w:rsid w:val="00824355"/>
    <w:rsid w:val="00844C3F"/>
    <w:rsid w:val="008508A8"/>
    <w:rsid w:val="00892AB4"/>
    <w:rsid w:val="00915020"/>
    <w:rsid w:val="00973C65"/>
    <w:rsid w:val="009769C0"/>
    <w:rsid w:val="009B05FC"/>
    <w:rsid w:val="009E3FA8"/>
    <w:rsid w:val="00A01547"/>
    <w:rsid w:val="00A32B0E"/>
    <w:rsid w:val="00A90279"/>
    <w:rsid w:val="00AA3ED9"/>
    <w:rsid w:val="00AF02C6"/>
    <w:rsid w:val="00B12062"/>
    <w:rsid w:val="00B67625"/>
    <w:rsid w:val="00B7299F"/>
    <w:rsid w:val="00BA102E"/>
    <w:rsid w:val="00BA560D"/>
    <w:rsid w:val="00BC3B0F"/>
    <w:rsid w:val="00C10E6D"/>
    <w:rsid w:val="00C53D1B"/>
    <w:rsid w:val="00CC5C9D"/>
    <w:rsid w:val="00D203D8"/>
    <w:rsid w:val="00D21F38"/>
    <w:rsid w:val="00D52F2B"/>
    <w:rsid w:val="00E46512"/>
    <w:rsid w:val="00EA61F4"/>
    <w:rsid w:val="00EA77F4"/>
    <w:rsid w:val="00EB4EEC"/>
    <w:rsid w:val="00F31AC2"/>
    <w:rsid w:val="00F708F4"/>
    <w:rsid w:val="00F74469"/>
    <w:rsid w:val="00F81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DBF"/>
  <w15:chartTrackingRefBased/>
  <w15:docId w15:val="{091813EF-7DAC-484E-9ABA-4611E466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844C3F"/>
    <w:pPr>
      <w:suppressAutoHyphens/>
      <w:spacing w:before="280" w:after="280" w:line="240" w:lineRule="auto"/>
    </w:pPr>
    <w:rPr>
      <w:rFonts w:ascii="Times New Roman" w:eastAsia="Times New Roman" w:hAnsi="Times New Roman" w:cs="Times New Roman"/>
      <w:sz w:val="24"/>
      <w:szCs w:val="24"/>
      <w:lang w:eastAsia="zh-CN"/>
    </w:rPr>
  </w:style>
  <w:style w:type="paragraph" w:styleId="Balonteksts">
    <w:name w:val="Balloon Text"/>
    <w:basedOn w:val="Parasts"/>
    <w:link w:val="BalontekstsRakstz"/>
    <w:uiPriority w:val="99"/>
    <w:semiHidden/>
    <w:unhideWhenUsed/>
    <w:rsid w:val="007F13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132F"/>
    <w:rPr>
      <w:rFonts w:ascii="Segoe UI" w:hAnsi="Segoe UI" w:cs="Segoe UI"/>
      <w:sz w:val="18"/>
      <w:szCs w:val="18"/>
    </w:rPr>
  </w:style>
  <w:style w:type="character" w:styleId="Komentraatsauce">
    <w:name w:val="annotation reference"/>
    <w:basedOn w:val="Noklusjumarindkopasfonts"/>
    <w:uiPriority w:val="99"/>
    <w:semiHidden/>
    <w:unhideWhenUsed/>
    <w:rsid w:val="00CC5C9D"/>
    <w:rPr>
      <w:sz w:val="16"/>
      <w:szCs w:val="16"/>
    </w:rPr>
  </w:style>
  <w:style w:type="paragraph" w:styleId="Komentrateksts">
    <w:name w:val="annotation text"/>
    <w:basedOn w:val="Parasts"/>
    <w:link w:val="KomentratekstsRakstz"/>
    <w:uiPriority w:val="99"/>
    <w:semiHidden/>
    <w:unhideWhenUsed/>
    <w:rsid w:val="00CC5C9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5C9D"/>
    <w:rPr>
      <w:sz w:val="20"/>
      <w:szCs w:val="20"/>
    </w:rPr>
  </w:style>
  <w:style w:type="paragraph" w:styleId="Komentratma">
    <w:name w:val="annotation subject"/>
    <w:basedOn w:val="Komentrateksts"/>
    <w:next w:val="Komentrateksts"/>
    <w:link w:val="KomentratmaRakstz"/>
    <w:uiPriority w:val="99"/>
    <w:semiHidden/>
    <w:unhideWhenUsed/>
    <w:rsid w:val="00CC5C9D"/>
    <w:rPr>
      <w:b/>
      <w:bCs/>
    </w:rPr>
  </w:style>
  <w:style w:type="character" w:customStyle="1" w:styleId="KomentratmaRakstz">
    <w:name w:val="Komentāra tēma Rakstz."/>
    <w:basedOn w:val="KomentratekstsRakstz"/>
    <w:link w:val="Komentratma"/>
    <w:uiPriority w:val="99"/>
    <w:semiHidden/>
    <w:rsid w:val="00CC5C9D"/>
    <w:rPr>
      <w:b/>
      <w:bCs/>
      <w:sz w:val="20"/>
      <w:szCs w:val="20"/>
    </w:rPr>
  </w:style>
  <w:style w:type="character" w:styleId="Hipersaite">
    <w:name w:val="Hyperlink"/>
    <w:basedOn w:val="Noklusjumarindkopasfonts"/>
    <w:uiPriority w:val="99"/>
    <w:unhideWhenUsed/>
    <w:rsid w:val="006D5746"/>
    <w:rPr>
      <w:color w:val="0563C1" w:themeColor="hyperlink"/>
      <w:u w:val="single"/>
    </w:rPr>
  </w:style>
  <w:style w:type="character" w:styleId="Neatrisintapieminana">
    <w:name w:val="Unresolved Mention"/>
    <w:basedOn w:val="Noklusjumarindkopasfonts"/>
    <w:uiPriority w:val="99"/>
    <w:semiHidden/>
    <w:unhideWhenUsed/>
    <w:rsid w:val="006D5746"/>
    <w:rPr>
      <w:color w:val="605E5C"/>
      <w:shd w:val="clear" w:color="auto" w:fill="E1DFDD"/>
    </w:rPr>
  </w:style>
  <w:style w:type="paragraph" w:styleId="Galvene">
    <w:name w:val="header"/>
    <w:basedOn w:val="Parasts"/>
    <w:link w:val="GalveneRakstz"/>
    <w:uiPriority w:val="99"/>
    <w:unhideWhenUsed/>
    <w:rsid w:val="00BA56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560D"/>
  </w:style>
  <w:style w:type="paragraph" w:styleId="Kjene">
    <w:name w:val="footer"/>
    <w:basedOn w:val="Parasts"/>
    <w:link w:val="KjeneRakstz"/>
    <w:uiPriority w:val="99"/>
    <w:unhideWhenUsed/>
    <w:rsid w:val="00BA56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cijas.fid.gov.lv/" TargetMode="External"/><Relationship Id="rId3" Type="http://schemas.openxmlformats.org/officeDocument/2006/relationships/settings" Target="settings.xml"/><Relationship Id="rId7" Type="http://schemas.openxmlformats.org/officeDocument/2006/relationships/hyperlink" Target="https://www.izsoles.t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ub.gov.lv/lv/media/7677/download?attachment" TargetMode="External"/><Relationship Id="rId4" Type="http://schemas.openxmlformats.org/officeDocument/2006/relationships/webSettings" Target="webSettings.xml"/><Relationship Id="rId9" Type="http://schemas.openxmlformats.org/officeDocument/2006/relationships/hyperlink" Target="https://www.consilium.europa.eu/lv/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2580</Words>
  <Characters>1471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Valdens</dc:creator>
  <cp:keywords/>
  <dc:description/>
  <cp:lastModifiedBy>Lilija Vaivode</cp:lastModifiedBy>
  <cp:revision>2</cp:revision>
  <cp:lastPrinted>2019-11-13T10:39:00Z</cp:lastPrinted>
  <dcterms:created xsi:type="dcterms:W3CDTF">2024-04-24T12:37:00Z</dcterms:created>
  <dcterms:modified xsi:type="dcterms:W3CDTF">2024-04-24T12:37:00Z</dcterms:modified>
</cp:coreProperties>
</file>