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8F9"/>
  <w:body>
    <w:p w14:paraId="152335BB" w14:textId="02D1092D" w:rsidR="003556B3" w:rsidRPr="003556B3" w:rsidRDefault="00FB548A" w:rsidP="003556B3">
      <w:pPr>
        <w:pStyle w:val="Virsraksts2"/>
      </w:pPr>
      <w:bookmarkStart w:id="0" w:name="_Hlk199492602"/>
      <w:bookmarkStart w:id="1" w:name="_Toc169866037"/>
      <w:r w:rsidRPr="00FB548A">
        <w:t>Noteikumi, kādā veidā tiek slēgti ilgtermiņa koksnes piegādes līgumi stratēģiski nozīmīgiem un prioritāriem industriālajiem projektiem</w:t>
      </w:r>
      <w:bookmarkEnd w:id="0"/>
    </w:p>
    <w:p w14:paraId="3901D0C1" w14:textId="2DBD07B9" w:rsidR="00757650" w:rsidRPr="00DE1503" w:rsidRDefault="00757650" w:rsidP="00757650">
      <w:pPr>
        <w:pStyle w:val="Virsraksts2"/>
        <w:numPr>
          <w:ilvl w:val="0"/>
          <w:numId w:val="1"/>
        </w:numPr>
      </w:pPr>
      <w:r>
        <w:t>Noteikumos lietotie termini un skaidrojumi</w:t>
      </w:r>
    </w:p>
    <w:bookmarkEnd w:id="1"/>
    <w:p w14:paraId="64E45412" w14:textId="53B8076C" w:rsidR="00FB548A" w:rsidRPr="00FB548A" w:rsidRDefault="00FB548A" w:rsidP="00FB548A">
      <w:pPr>
        <w:rPr>
          <w:b/>
          <w:bCs/>
          <w:color w:val="046241"/>
        </w:rPr>
      </w:pPr>
      <w:r w:rsidRPr="00FB548A">
        <w:rPr>
          <w:b/>
          <w:bCs/>
          <w:color w:val="046241"/>
        </w:rPr>
        <w:t xml:space="preserve">Gaidu vēstule </w:t>
      </w:r>
      <w:r w:rsidRPr="00FB548A">
        <w:t>– ar LVM 17.04.2025. akcionāra lēmumu (protokols Nr.4/2025; 2.punkts) aktualizētās 23.08.2023. ar LVM akcionāra lēmumu (protokols Nr.4/2023; 1.punkts) apstiprinātās gaidu vēstules redakcija.</w:t>
      </w:r>
    </w:p>
    <w:p w14:paraId="267A1E8B" w14:textId="12322E43" w:rsidR="00FB548A" w:rsidRPr="00FB548A" w:rsidRDefault="00FB548A" w:rsidP="00FB548A">
      <w:pPr>
        <w:rPr>
          <w:b/>
          <w:bCs/>
          <w:color w:val="046241"/>
        </w:rPr>
      </w:pPr>
      <w:r w:rsidRPr="00FB548A">
        <w:rPr>
          <w:b/>
          <w:bCs/>
          <w:color w:val="046241"/>
        </w:rPr>
        <w:t xml:space="preserve">Komersants </w:t>
      </w:r>
      <w:r w:rsidRPr="00FB548A">
        <w:t>– komersants, kas īsteno Projektu.</w:t>
      </w:r>
    </w:p>
    <w:p w14:paraId="35F27278" w14:textId="483E7F2E" w:rsidR="00FB548A" w:rsidRPr="00FB548A" w:rsidRDefault="00FB548A" w:rsidP="00FB548A">
      <w:r w:rsidRPr="00FB548A">
        <w:rPr>
          <w:b/>
          <w:bCs/>
          <w:color w:val="046241"/>
        </w:rPr>
        <w:t xml:space="preserve">LIAA </w:t>
      </w:r>
      <w:r w:rsidRPr="00FB548A">
        <w:t>– Latvijas Investīciju un attīstības aģentūra.</w:t>
      </w:r>
    </w:p>
    <w:p w14:paraId="311E335F" w14:textId="6319C862" w:rsidR="00FB548A" w:rsidRPr="00FB548A" w:rsidRDefault="00FB548A" w:rsidP="00FB548A">
      <w:r w:rsidRPr="00FB548A">
        <w:rPr>
          <w:b/>
          <w:bCs/>
          <w:color w:val="046241"/>
        </w:rPr>
        <w:t xml:space="preserve">Līgums </w:t>
      </w:r>
      <w:r w:rsidRPr="00FB548A">
        <w:t xml:space="preserve">– </w:t>
      </w:r>
      <w:bookmarkStart w:id="2" w:name="_Hlk199492464"/>
      <w:r w:rsidRPr="00FB548A">
        <w:t>ilgtermiņa koksnes piegādes līgums stratēģiski nozīmīgiem un prioritāriem industriālajiem Projektiem</w:t>
      </w:r>
      <w:bookmarkEnd w:id="2"/>
      <w:r w:rsidRPr="00FB548A">
        <w:t>.</w:t>
      </w:r>
    </w:p>
    <w:p w14:paraId="6EA58BD1" w14:textId="7C0C951C" w:rsidR="00FB548A" w:rsidRPr="00FB548A" w:rsidRDefault="00FB548A" w:rsidP="00FB548A">
      <w:r w:rsidRPr="00FB548A">
        <w:rPr>
          <w:b/>
          <w:bCs/>
          <w:color w:val="046241"/>
        </w:rPr>
        <w:t xml:space="preserve">LVM </w:t>
      </w:r>
      <w:r w:rsidRPr="00FB548A">
        <w:t>– akciju sabiedrība “Latvijas valsts meži”, reģistrācijas Nr. 40003466281.</w:t>
      </w:r>
    </w:p>
    <w:p w14:paraId="5FF1B5A1" w14:textId="42E1EFD6" w:rsidR="00FB548A" w:rsidRPr="00FB548A" w:rsidRDefault="00FB548A" w:rsidP="00FB548A">
      <w:r>
        <w:rPr>
          <w:b/>
          <w:bCs/>
          <w:color w:val="046241"/>
        </w:rPr>
        <w:t>N</w:t>
      </w:r>
      <w:r w:rsidRPr="00FB548A">
        <w:rPr>
          <w:b/>
          <w:bCs/>
          <w:color w:val="046241"/>
        </w:rPr>
        <w:t xml:space="preserve">oteikumi </w:t>
      </w:r>
      <w:r w:rsidRPr="00FB548A">
        <w:t>– šie noteikumi, kādā veidā LVM slēdz Līgumus ar Komersantiem, kuru Projekts atbilst Gaidu vēstules 2. punkta 8. apakšpunktā noteiktajiem kritērijiem.</w:t>
      </w:r>
    </w:p>
    <w:p w14:paraId="66F52070" w14:textId="2CF6D4C8" w:rsidR="00FB548A" w:rsidRPr="00FB548A" w:rsidRDefault="00FB548A" w:rsidP="00FB548A">
      <w:r w:rsidRPr="00FB548A">
        <w:rPr>
          <w:b/>
          <w:bCs/>
          <w:color w:val="046241"/>
        </w:rPr>
        <w:t xml:space="preserve">Projekts </w:t>
      </w:r>
      <w:r w:rsidRPr="00FB548A">
        <w:t xml:space="preserve">– stratēģiski nozīmīgs un prioritārs investīciju projekts, </w:t>
      </w:r>
      <w:bookmarkStart w:id="3" w:name="_Hlk199492487"/>
      <w:r w:rsidRPr="00FB548A">
        <w:t>kas atbilst Gaidu vēstules 2. punkta 8. apakšpunktā noteiktajiem kritērijiem</w:t>
      </w:r>
      <w:bookmarkEnd w:id="3"/>
      <w:r w:rsidRPr="00FB548A">
        <w:t>.</w:t>
      </w:r>
    </w:p>
    <w:p w14:paraId="72582D75" w14:textId="23A1B691" w:rsidR="000F6128" w:rsidRDefault="00FB548A" w:rsidP="000F6128">
      <w:pPr>
        <w:pStyle w:val="Virsraksts2"/>
        <w:numPr>
          <w:ilvl w:val="0"/>
          <w:numId w:val="1"/>
        </w:numPr>
      </w:pPr>
      <w:r>
        <w:t>VISPĀRĪGIE NOTEIKUMI</w:t>
      </w:r>
    </w:p>
    <w:p w14:paraId="7EC92B6F" w14:textId="77777777" w:rsidR="000F6128" w:rsidRDefault="000F6128" w:rsidP="000F6128">
      <w:r>
        <w:t xml:space="preserve">2.1. Noteikumi izstrādāti, </w:t>
      </w:r>
      <w:bookmarkStart w:id="4" w:name="_Hlk199492414"/>
      <w:r>
        <w:t>lai nodrošinātu vienotu pieeju un noteiktu LVM rīcību Līgumu slēgšanā ar Komersantiem, kuri atbilst Ministru kabineta 15.04.2025. sēdē pieņemtajā informatīvajā ziņojumā “Par ilgtermiņa koksnes piegādi prioritārajiem projektiem” noteiktajiem kritērijiem, kas iekļauti Gaidu vēstulē</w:t>
      </w:r>
      <w:bookmarkEnd w:id="4"/>
      <w:r>
        <w:t>.</w:t>
      </w:r>
    </w:p>
    <w:p w14:paraId="06943BC3" w14:textId="77777777" w:rsidR="000F6128" w:rsidRDefault="000F6128" w:rsidP="000F6128">
      <w:r>
        <w:t>2.2. Kopējais pieejamais koksnes apjoms Līgumiem gada ietvaros – 1,5 miljoni m³.</w:t>
      </w:r>
    </w:p>
    <w:p w14:paraId="7FC553D2" w14:textId="77777777" w:rsidR="000F6128" w:rsidRDefault="000F6128" w:rsidP="000F6128">
      <w:r>
        <w:t xml:space="preserve">2.3. Maksimāli pieejamais koksnes apjoms vienam Komersantam – līdz 50% no Komersanta ražotnē uzstādītās ražošanas jaudas, bet ne vairāk kā 300 000 m³ gadā. </w:t>
      </w:r>
    </w:p>
    <w:p w14:paraId="502D9108" w14:textId="77777777" w:rsidR="000F6128" w:rsidRDefault="000F6128" w:rsidP="000F6128">
      <w:r>
        <w:t>2.4. Koksnes produkts, kas var tikt izmantots Projektu īstenošanai – papīrmalkas kvalitātes koksne un kurināmā koksne.</w:t>
      </w:r>
    </w:p>
    <w:p w14:paraId="3C4F6E0B" w14:textId="7F21AF8D" w:rsidR="000F6128" w:rsidRDefault="000F6128" w:rsidP="000F6128">
      <w:r>
        <w:t>2.5. Līgumi var tikt noslēgti ar Komersantiem, kas līdz 2032. gada beigām plāno izpildīt visus nosacījumus, kas noteikti Noteikumu 4.3. punktā, lai nodrošinātu pirmās koksnes piegādes uzsākšanu, vienlaikus pieļaujot atkāpi un piešķirot Komersantam papildu vienu gadu nosacījumu izpildei, ja Komersants par sagaidāmo kavējumu ir informējis vismaz 24 mēnešus iepriekš un līdz 2032. gada beigām ieguldījumi jaunās ražotnes izveidē sasniedz vismaz 50 miljonus eiro jeb 50% no noteiktā minimālā ieguldījuma apmēra un ir saņemta būvatļauja. Līguma darbības maksimālais termiņš ir līdz 2043. gadam.</w:t>
      </w:r>
    </w:p>
    <w:p w14:paraId="488A25DC" w14:textId="25F7508E" w:rsidR="000F6128" w:rsidRDefault="000F6128" w:rsidP="000F6128">
      <w:pPr>
        <w:pStyle w:val="Virsraksts2"/>
        <w:numPr>
          <w:ilvl w:val="0"/>
          <w:numId w:val="1"/>
        </w:numPr>
      </w:pPr>
      <w:r>
        <w:t>LĪGUMA NOSLĒGŠANAS KĀRTĪBA</w:t>
      </w:r>
    </w:p>
    <w:p w14:paraId="52972F97" w14:textId="77777777" w:rsidR="000F6128" w:rsidRPr="000F6128" w:rsidRDefault="000F6128" w:rsidP="000F6128">
      <w:r w:rsidRPr="000F6128">
        <w:t>Līguma noslēgšanai tiek īstenoti vismaz šādi soļi:</w:t>
      </w:r>
    </w:p>
    <w:p w14:paraId="0D099C1F" w14:textId="77777777" w:rsidR="000F6128" w:rsidRDefault="000F6128" w:rsidP="000F6128">
      <w:r>
        <w:t>3.1. Komersants iesniedz LVM iesniegumu Līguma noslēgšanai, kurā norāda vismaz šādu informāciju:</w:t>
      </w:r>
    </w:p>
    <w:p w14:paraId="44B70E67" w14:textId="77777777" w:rsidR="000F6128" w:rsidRDefault="000F6128" w:rsidP="000F6128">
      <w:r>
        <w:tab/>
        <w:t>3.1.1. Projekta apraksts un plānotais investīciju apmērs;</w:t>
      </w:r>
    </w:p>
    <w:p w14:paraId="3DB067A6" w14:textId="77777777" w:rsidR="000F6128" w:rsidRDefault="000F6128" w:rsidP="000F6128">
      <w:r>
        <w:tab/>
        <w:t>3.1.2. naudas līdzekļu apliecinājumu vai plāns to piesaistei;</w:t>
      </w:r>
    </w:p>
    <w:p w14:paraId="33852A2A" w14:textId="77777777" w:rsidR="000F6128" w:rsidRDefault="000F6128" w:rsidP="000F6128">
      <w:r>
        <w:lastRenderedPageBreak/>
        <w:tab/>
        <w:t>3.1.3. detalizēts koksnes produkta pārstrādes cikla apraksts;</w:t>
      </w:r>
    </w:p>
    <w:p w14:paraId="16AF6574" w14:textId="77777777" w:rsidR="000F6128" w:rsidRDefault="000F6128" w:rsidP="000F6128">
      <w:r>
        <w:tab/>
        <w:t>3.1.4. Lielo un stratēģiski nozīmīgo investīciju projektu koordinācijas padomes lēmums par prioritārā investīciju projekta statusa piešķiršanu;</w:t>
      </w:r>
    </w:p>
    <w:p w14:paraId="61D3BE99" w14:textId="77777777" w:rsidR="000F6128" w:rsidRDefault="000F6128" w:rsidP="000F6128">
      <w:r>
        <w:tab/>
        <w:t>3.1.5. plānotais Projekta ieviešanas laika grafiks;</w:t>
      </w:r>
    </w:p>
    <w:p w14:paraId="1343DAE9" w14:textId="77777777" w:rsidR="000F6128" w:rsidRDefault="000F6128" w:rsidP="000F6128">
      <w:r>
        <w:tab/>
        <w:t>3.1.6. paredzamā uzstādītā ražošanas jauda Komersanta ražotnē un no LVM nepieciešamais koksnes produkta kopējais apjoms, gada apjoms un vēlamā produkta apraksts;</w:t>
      </w:r>
    </w:p>
    <w:p w14:paraId="2D31E2A1" w14:textId="77777777" w:rsidR="000F6128" w:rsidRDefault="000F6128" w:rsidP="000F6128">
      <w:r>
        <w:tab/>
        <w:t>3.1.7. piegādes vietas (teritorija kurā plānota ražotnes būvniecība un koklaukums) zemes lietojuma tiesību apliecinošus dokumentus (ja ir);</w:t>
      </w:r>
    </w:p>
    <w:p w14:paraId="6DD006FD" w14:textId="77777777" w:rsidR="000F6128" w:rsidRDefault="000F6128" w:rsidP="000F6128">
      <w:r>
        <w:tab/>
        <w:t>3.1.8. plānotais Līguma termiņš;</w:t>
      </w:r>
    </w:p>
    <w:p w14:paraId="60A90335" w14:textId="77777777" w:rsidR="000F6128" w:rsidRDefault="000F6128" w:rsidP="000F6128">
      <w:r>
        <w:tab/>
        <w:t xml:space="preserve">3.1.9. vēlamais cenu veidošanas mehānisms atbilstoši Noteikumu 4.2. punktam. </w:t>
      </w:r>
    </w:p>
    <w:p w14:paraId="4EECE64A" w14:textId="77777777" w:rsidR="000F6128" w:rsidRDefault="000F6128" w:rsidP="000F6128">
      <w:r>
        <w:t>3.2. LVM nosūta LIAA pieprasījumu sniegt konsultatīvo izvērtējumu par Komersanta un Projekta atbilstību prioritārā projekta statusa kritērijiem.</w:t>
      </w:r>
    </w:p>
    <w:p w14:paraId="714B7D25" w14:textId="7F14C132" w:rsidR="000F6128" w:rsidRDefault="000F6128" w:rsidP="000F6128">
      <w:r>
        <w:t xml:space="preserve">3.3. LVM izvērtē LIAA konsultatīvo izvērtējumu un </w:t>
      </w:r>
      <w:r w:rsidR="00344C71">
        <w:t xml:space="preserve">Komersantam </w:t>
      </w:r>
      <w:r>
        <w:t xml:space="preserve">nepieciešamā koksnes produkta pieejamību attiecīgajos termiņos un apjomā, ņemot vērā citu Komersantu atbilstoši </w:t>
      </w:r>
      <w:r w:rsidR="00B5202B">
        <w:t>Noteikumiem</w:t>
      </w:r>
      <w:r>
        <w:t xml:space="preserve"> iesniegtos iesniegumus un/vai noslēgtos Līgumus.</w:t>
      </w:r>
    </w:p>
    <w:p w14:paraId="4FC1992B" w14:textId="11FBCE90" w:rsidR="007F5511" w:rsidRDefault="000F6128" w:rsidP="000F6128">
      <w:r>
        <w:t xml:space="preserve">3.4. </w:t>
      </w:r>
      <w:r w:rsidR="00B5202B">
        <w:t xml:space="preserve">Pēc Noteikumu 3.3. punktā minētā izvērtējuma veikšanas </w:t>
      </w:r>
      <w:r>
        <w:t>LVM Koksnes produktu pārdošanas virziens</w:t>
      </w:r>
      <w:r w:rsidR="007F5511">
        <w:t xml:space="preserve"> iesniedz </w:t>
      </w:r>
      <w:r w:rsidR="008E0E82">
        <w:t>informāciju</w:t>
      </w:r>
      <w:r w:rsidR="007F5511">
        <w:t xml:space="preserve"> LVM valdei turpmāko lēmumu pieņemšanai. </w:t>
      </w:r>
    </w:p>
    <w:p w14:paraId="77273580" w14:textId="480B4720" w:rsidR="000F6128" w:rsidRDefault="000F6128" w:rsidP="000F6128">
      <w:pPr>
        <w:pStyle w:val="Virsraksts2"/>
        <w:numPr>
          <w:ilvl w:val="0"/>
          <w:numId w:val="1"/>
        </w:numPr>
      </w:pPr>
      <w:r>
        <w:t>LĪGUMA NOTEIKUMI</w:t>
      </w:r>
    </w:p>
    <w:p w14:paraId="5EA3B98E" w14:textId="7E07234F" w:rsidR="000F6128" w:rsidRDefault="000F6128" w:rsidP="000F6128">
      <w:r>
        <w:t xml:space="preserve">Līgums tiek slēgts, ievērojot Noteikumu </w:t>
      </w:r>
      <w:r w:rsidR="00C04262">
        <w:t xml:space="preserve">4.1. – 4.7. punktos noteiktos principus, Noteikumu </w:t>
      </w:r>
      <w:r>
        <w:t>1. un 2. pielikumā pievienotos piegādes līgumu projektus</w:t>
      </w:r>
      <w:r w:rsidR="007355A2">
        <w:t>,</w:t>
      </w:r>
      <w:r w:rsidR="00C04262">
        <w:t xml:space="preserve"> tostarp</w:t>
      </w:r>
      <w:r w:rsidR="007355A2">
        <w:t xml:space="preserve"> </w:t>
      </w:r>
      <w:r>
        <w:t>Līgumā iekļau</w:t>
      </w:r>
      <w:r w:rsidR="009B6476">
        <w:t>jot</w:t>
      </w:r>
      <w:r>
        <w:t xml:space="preserve"> noteikum</w:t>
      </w:r>
      <w:r w:rsidR="009B6476">
        <w:t>us</w:t>
      </w:r>
      <w:r>
        <w:t>, ņemot vērā attiecīgā Projekta specifiku</w:t>
      </w:r>
      <w:r w:rsidR="00C04262">
        <w:t>.</w:t>
      </w:r>
      <w:r>
        <w:t xml:space="preserve"> </w:t>
      </w:r>
    </w:p>
    <w:p w14:paraId="4A126064" w14:textId="06714B00" w:rsidR="000F6128" w:rsidRDefault="000F6128" w:rsidP="000F6128">
      <w:r>
        <w:t>4.1.</w:t>
      </w:r>
      <w:r w:rsidR="0091169A">
        <w:t xml:space="preserve"> </w:t>
      </w:r>
      <w:r w:rsidRPr="000F6128">
        <w:rPr>
          <w:b/>
          <w:bCs/>
        </w:rPr>
        <w:t xml:space="preserve">Līguma darbības termiņš: </w:t>
      </w:r>
      <w:r>
        <w:t>līdz 10 gadiem no pirmās piegādes brīža, ievērojot Noteikumu 2.5. punktā noteikto.</w:t>
      </w:r>
    </w:p>
    <w:p w14:paraId="3E08B412" w14:textId="7725C092" w:rsidR="000F6128" w:rsidRDefault="000F6128" w:rsidP="000F6128">
      <w:r>
        <w:t>4.2.</w:t>
      </w:r>
      <w:r w:rsidR="0091169A">
        <w:t xml:space="preserve"> </w:t>
      </w:r>
      <w:r w:rsidRPr="000F6128">
        <w:rPr>
          <w:b/>
          <w:bCs/>
        </w:rPr>
        <w:t>Cena</w:t>
      </w:r>
      <w:r>
        <w:t xml:space="preserve"> var tikt noteikta, izmantojot vienu no diviem iespējamiem cenu veidošanas mehānismiem:</w:t>
      </w:r>
    </w:p>
    <w:p w14:paraId="6EF0E4E9" w14:textId="48AD37FA" w:rsidR="000F6128" w:rsidRDefault="000F6128" w:rsidP="0091169A">
      <w:pPr>
        <w:ind w:firstLine="720"/>
      </w:pPr>
      <w:r>
        <w:t>4.2.1.</w:t>
      </w:r>
      <w:r w:rsidR="0091169A">
        <w:t xml:space="preserve"> </w:t>
      </w:r>
      <w:r>
        <w:t>Koksnes produkta cenu pirmajam piegāžu periodam aprēķina kā vidējo svērto attiecīgā vai pēc kvalitātes pielīdzināmā produkta cenu no LVM ilgāka termiņa pārdošanas procesa ietvaros noslēgtajiem līgumiem attiecīgajam periodam, ņemot vērā transportēšanas attāluma ietekmi. Sākot ar otro piegāžu periodu, cena tiek pārskatīta (piemēram, indeksēta) saskaņā ar līguma noslēgšanas brīdī spēkā esošo ilgāka termiņa piegādes līgumos noteiktu cenu pārskatīšanas mehānismu, kas līguma darbības laikā netiek mainīts;</w:t>
      </w:r>
    </w:p>
    <w:p w14:paraId="2A8ABEB3" w14:textId="1B1F7936" w:rsidR="000F6128" w:rsidRDefault="000F6128" w:rsidP="0091169A">
      <w:pPr>
        <w:ind w:firstLine="720"/>
      </w:pPr>
      <w:r>
        <w:t>4.2.2.</w:t>
      </w:r>
      <w:r w:rsidR="0091169A">
        <w:t xml:space="preserve"> </w:t>
      </w:r>
      <w:r>
        <w:t xml:space="preserve">Koksnes produkta cena tiek noteikta saskaņā ar Komersanta izvēlētu, </w:t>
      </w:r>
      <w:r w:rsidR="00893D68">
        <w:t xml:space="preserve">tirgus </w:t>
      </w:r>
      <w:r>
        <w:t xml:space="preserve">principos balstītu cenu noteikšanas un cenu pārskatīšanas modeli, par ko saņemts neatkarīga eksperta vērtējums par cenas atbilstību privātā investora principam. Pēc privātā investora testa veikšanas cenu modelis tiek apstiprināts Lielo un stratēģiski nozīmīgo investīciju projektu koordinācijas padomē, un Zemkopības ministrija uzdod LVM slēgt Līgumu, ievērojot apstiprināto cenu modeli. Līgumu, kuros noteikts cenu modelis, izmantojot neatkarīga eksperta novērtējumu par modeļa atbilstību privātā investora testam, un par kuru iepriekš nav saņemts Eiropas Komisijas saskaņojums, izpilde var tikt uzsākta tikai pēc Eiropas Komisijas vēstules vai lēmuma saņemšanas, ar to apliecinot, ka konkrētā līguma slēgšana nav uzskatāma par valsts atbalstu, vai pēc Eiropas Komisijas pozitīva lēmuma saņemšanas par atbalsta pasākuma saderību ar Eiropas Savienības iekšējo tirgu. </w:t>
      </w:r>
    </w:p>
    <w:p w14:paraId="74AC073B" w14:textId="77777777" w:rsidR="0091169A" w:rsidRDefault="0091169A" w:rsidP="0091169A">
      <w:pPr>
        <w:ind w:firstLine="720"/>
      </w:pPr>
    </w:p>
    <w:p w14:paraId="124F2AC8" w14:textId="77777777" w:rsidR="003556B3" w:rsidRDefault="003556B3" w:rsidP="0091169A">
      <w:pPr>
        <w:ind w:firstLine="720"/>
      </w:pPr>
    </w:p>
    <w:p w14:paraId="27C29CD7" w14:textId="77777777" w:rsidR="000F6128" w:rsidRDefault="000F6128" w:rsidP="000F6128">
      <w:r>
        <w:t>4.3.</w:t>
      </w:r>
      <w:r>
        <w:tab/>
      </w:r>
      <w:r w:rsidRPr="000F6128">
        <w:rPr>
          <w:b/>
          <w:bCs/>
        </w:rPr>
        <w:t>Koksnes piegādes uzsākšanas nosacījumi:</w:t>
      </w:r>
    </w:p>
    <w:p w14:paraId="7007A657" w14:textId="08658695" w:rsidR="000F6128" w:rsidRDefault="000F6128" w:rsidP="0091169A">
      <w:pPr>
        <w:ind w:firstLine="720"/>
      </w:pPr>
      <w:r>
        <w:t>4.3.1.</w:t>
      </w:r>
      <w:r w:rsidR="0091169A">
        <w:t xml:space="preserve"> </w:t>
      </w:r>
      <w:r>
        <w:t>koksne tiek piegādāta tikai pēc tam, kad Komersanta ražotne, kurā tiek īstenots Projekts, ir pilnībā nodota ekspluatācijā un uzsākusi darbību;</w:t>
      </w:r>
    </w:p>
    <w:p w14:paraId="70854752" w14:textId="0EA99394" w:rsidR="000F6128" w:rsidRDefault="000F6128" w:rsidP="0091169A">
      <w:pPr>
        <w:ind w:firstLine="720"/>
      </w:pPr>
      <w:r>
        <w:t>4.3.2.</w:t>
      </w:r>
      <w:r w:rsidR="0091169A">
        <w:t xml:space="preserve"> </w:t>
      </w:r>
      <w:r>
        <w:t>Komersants no 2025. gada līdz 2032. gada beigām vai 2033. gada beigām, ja nosacījumu izpildes termiņš pagarināts, Projektā noteiktās jaunās ražotnes izveidē (pamatlīdzekļos) ieguldījis vismaz 100 miljonus eiro;</w:t>
      </w:r>
    </w:p>
    <w:p w14:paraId="440E0E66" w14:textId="275F5FF6" w:rsidR="000F6128" w:rsidRDefault="000F6128" w:rsidP="0091169A">
      <w:pPr>
        <w:ind w:firstLine="720"/>
      </w:pPr>
      <w:r>
        <w:t>4.3.3.</w:t>
      </w:r>
      <w:r w:rsidR="0091169A">
        <w:t xml:space="preserve"> </w:t>
      </w:r>
      <w:r>
        <w:t>Projekta īstenošana ir pabeigta, t.sk. Projektā paredzētās ražošanas iekārtas ir uzstādītas un nodotas ekspluatācijā, un ar tām var saražot Projektā noteikto produkciju;</w:t>
      </w:r>
    </w:p>
    <w:p w14:paraId="6A4B3166" w14:textId="2179DEAA" w:rsidR="000F6128" w:rsidRDefault="000F6128" w:rsidP="0091169A">
      <w:pPr>
        <w:ind w:firstLine="720"/>
      </w:pPr>
      <w:r>
        <w:t>4.3.4.</w:t>
      </w:r>
      <w:r w:rsidR="0091169A">
        <w:t xml:space="preserve"> </w:t>
      </w:r>
      <w:r>
        <w:t>lai nodrošinātu iepriekš noteikto nosacījumu izpildes uzraudzību, Komersants iesniedz LVM zvērināta revidenta vai zvērinātu revidentu komercsabiedrības apstiprinātu atzinumu, ka Projekta iesniegumā noteiktās jaunās ražotnes izveidē (pamatlīdzekļos) nosacījumu izpildes periodā ieguldīti vismaz 100 miljoni eiro. LVM ir tiesības veikt pārbaudi Projekta īstenošanas vietā, pārbaudot Projekta ietvaros uzstādīto ražošanas iekārtu dokumentāciju un veicot to vizuālu apskati. LVM ir tiesības piesaistīt neatkarīgu trešo personu pārbaudes veikšanai</w:t>
      </w:r>
      <w:r w:rsidR="00A72663">
        <w:t>;</w:t>
      </w:r>
    </w:p>
    <w:p w14:paraId="61B307CB" w14:textId="46432A94" w:rsidR="000F6128" w:rsidRDefault="000F6128" w:rsidP="0091169A">
      <w:pPr>
        <w:ind w:firstLine="720"/>
      </w:pPr>
      <w:r>
        <w:t>4.3.5.</w:t>
      </w:r>
      <w:r w:rsidR="0091169A">
        <w:t xml:space="preserve"> </w:t>
      </w:r>
      <w:r>
        <w:t>LVM ir pieprasījusi Konkurences padomes atzinumu par Līgumā ietverto noteikumu ietekmi uz konkurenci un Konkurences padome ir izsniegusi atzinumu, kas apstiprina, ka Līgumā ietvertie noteikumi nerada negatīvu ietekmi uz konkurenci;</w:t>
      </w:r>
    </w:p>
    <w:p w14:paraId="2C3EEC9C" w14:textId="148086DE" w:rsidR="000F6128" w:rsidRDefault="000F6128" w:rsidP="0091169A">
      <w:pPr>
        <w:ind w:firstLine="720"/>
      </w:pPr>
      <w:r>
        <w:t>4.3.6.</w:t>
      </w:r>
      <w:r w:rsidR="0091169A">
        <w:t xml:space="preserve"> </w:t>
      </w:r>
      <w:r>
        <w:t>ja attiecināms, Komersants ir pieprasījis un saņēmis Eiropas Komisijas vēstuli vai lēmumu, ar  kuru tiktu sniegts apstiprinājums, ka Noteikumu 4.2.2. punktā noteiktā cenu noteikšanas modeļa piemērošana nerada komercdarbības atbalsta piešķiršanu, vai Eiropas Komisijas pozitīvu lēmumu par atbalsta pasākuma saderību ar Eiropas Savienības iekšējo tirgu.</w:t>
      </w:r>
    </w:p>
    <w:p w14:paraId="0507EBCD" w14:textId="4DFC0B2C" w:rsidR="000F6128" w:rsidRDefault="000F6128" w:rsidP="000F6128">
      <w:r>
        <w:t>4.4.</w:t>
      </w:r>
      <w:r w:rsidR="0091169A">
        <w:t xml:space="preserve"> </w:t>
      </w:r>
      <w:r w:rsidRPr="000F6128">
        <w:rPr>
          <w:b/>
          <w:bCs/>
        </w:rPr>
        <w:t>Koksnes izmantošanas atbilstība:</w:t>
      </w:r>
      <w:r>
        <w:t xml:space="preserve"> Komersants koksni ir tiesīgs izmantot tikai Projektā norādītā produkta veida ražošanai.</w:t>
      </w:r>
    </w:p>
    <w:p w14:paraId="1BEDC3C2" w14:textId="5793257F" w:rsidR="000F6128" w:rsidRDefault="000F6128" w:rsidP="000F6128">
      <w:r>
        <w:t>4.5.</w:t>
      </w:r>
      <w:r w:rsidR="0091169A">
        <w:t xml:space="preserve"> </w:t>
      </w:r>
      <w:r w:rsidRPr="000F6128">
        <w:rPr>
          <w:b/>
          <w:bCs/>
        </w:rPr>
        <w:t>Ražošanas jaudas atbilstība:</w:t>
      </w:r>
      <w:r>
        <w:t xml:space="preserve"> Komersanta ražotnē ikgadējais ražošanas apjoms jānodrošina atbilstoši sākotnēji noteiktajiem parametriem, vienlaikus paredzot saprātīgu elastību, lai pielāgotos iespējamām pārmaiņām tehnoloģiju attīstībā, tirgus apstākļos un resursu pieejamībā.</w:t>
      </w:r>
    </w:p>
    <w:p w14:paraId="0B7BAA5E" w14:textId="32A9BF9D" w:rsidR="000F6128" w:rsidRDefault="000F6128" w:rsidP="000F6128">
      <w:r>
        <w:t>4.6.</w:t>
      </w:r>
      <w:r w:rsidR="0091169A">
        <w:t xml:space="preserve"> </w:t>
      </w:r>
      <w:r w:rsidRPr="000F6128">
        <w:rPr>
          <w:b/>
          <w:bCs/>
        </w:rPr>
        <w:t>Tiesības vienpusēji atkāpties no Līguma:</w:t>
      </w:r>
      <w:r>
        <w:t xml:space="preserve"> LVM ir tiesības vienpusēji atkāpties no Līguma, ja vairs nav atbilstības kritērijiem, uz kuru pamata tas tika noslēgts.</w:t>
      </w:r>
    </w:p>
    <w:p w14:paraId="0776BCCD" w14:textId="13378C2D" w:rsidR="000F6128" w:rsidRDefault="000F6128" w:rsidP="000F6128">
      <w:r>
        <w:t>4.7.</w:t>
      </w:r>
      <w:r w:rsidR="0091169A">
        <w:t xml:space="preserve"> </w:t>
      </w:r>
      <w:r w:rsidRPr="000F6128">
        <w:rPr>
          <w:b/>
          <w:bCs/>
        </w:rPr>
        <w:t>Papildu drošības nosacījumi:</w:t>
      </w:r>
      <w:r>
        <w:t xml:space="preserve"> Līgumā var tikt noteikti arī citi drošības mehānismi un specifiski nosacījumi, kas vēl vairāk aizsargātu valsts un LVM intereses un mazinātu iespējamo risku, vienlaikus nodrošinot, ka Līgumi tiek slēgti ar noteikumiem, kas atbilst starptautiskajai </w:t>
      </w:r>
      <w:r w:rsidR="004479FA">
        <w:t>komercdarījumu</w:t>
      </w:r>
      <w:r w:rsidR="00F46732">
        <w:t xml:space="preserve"> </w:t>
      </w:r>
      <w:r>
        <w:t>praksei, lai apliecinātu Projektu finansējamību, tostarp attiecībā uz apjoma un kvalitātes garantijām un tiesiskās aizsardzības līdzekļiem.</w:t>
      </w:r>
    </w:p>
    <w:p w14:paraId="4FBE384C" w14:textId="789784BD" w:rsidR="000F6128" w:rsidRDefault="000F6128" w:rsidP="000F6128">
      <w:pPr>
        <w:pStyle w:val="Virsraksts2"/>
        <w:numPr>
          <w:ilvl w:val="0"/>
          <w:numId w:val="1"/>
        </w:numPr>
      </w:pPr>
      <w:r>
        <w:t>Pielikumi</w:t>
      </w:r>
    </w:p>
    <w:p w14:paraId="5938D36B" w14:textId="346EE72D" w:rsidR="000F6128" w:rsidRPr="003556B3" w:rsidRDefault="000F6128" w:rsidP="0091169A">
      <w:pPr>
        <w:pStyle w:val="Default"/>
        <w:numPr>
          <w:ilvl w:val="0"/>
          <w:numId w:val="16"/>
        </w:numPr>
        <w:ind w:left="284" w:hanging="284"/>
        <w:rPr>
          <w:rFonts w:ascii="Franklin Gothic Book" w:hAnsi="Franklin Gothic Book" w:cstheme="minorBidi"/>
          <w:color w:val="auto"/>
          <w:kern w:val="2"/>
          <w:sz w:val="22"/>
          <w:szCs w:val="22"/>
          <w14:ligatures w14:val="standardContextual"/>
        </w:rPr>
      </w:pPr>
      <w:r w:rsidRPr="003556B3">
        <w:rPr>
          <w:rFonts w:ascii="Franklin Gothic Book" w:hAnsi="Franklin Gothic Book" w:cstheme="minorBidi"/>
          <w:color w:val="auto"/>
          <w:kern w:val="2"/>
          <w:sz w:val="22"/>
          <w:szCs w:val="22"/>
          <w14:ligatures w14:val="standardContextual"/>
        </w:rPr>
        <w:t>pielikums – Piegādes līguma projekta I daļa (speciālie noteikumi)</w:t>
      </w:r>
    </w:p>
    <w:p w14:paraId="2F6E1C12" w14:textId="1BBBE7E4" w:rsidR="000F6128" w:rsidRPr="003556B3" w:rsidRDefault="000F6128" w:rsidP="0091169A">
      <w:pPr>
        <w:pStyle w:val="Default"/>
        <w:numPr>
          <w:ilvl w:val="0"/>
          <w:numId w:val="16"/>
        </w:numPr>
        <w:ind w:left="284" w:hanging="284"/>
        <w:rPr>
          <w:rFonts w:ascii="Franklin Gothic Book" w:hAnsi="Franklin Gothic Book" w:cstheme="minorBidi"/>
          <w:color w:val="auto"/>
          <w:kern w:val="2"/>
          <w:sz w:val="22"/>
          <w:szCs w:val="22"/>
          <w14:ligatures w14:val="standardContextual"/>
        </w:rPr>
      </w:pPr>
      <w:r w:rsidRPr="003556B3">
        <w:rPr>
          <w:rFonts w:ascii="Franklin Gothic Book" w:hAnsi="Franklin Gothic Book" w:cstheme="minorBidi"/>
          <w:color w:val="auto"/>
          <w:kern w:val="2"/>
          <w:sz w:val="22"/>
          <w:szCs w:val="22"/>
          <w14:ligatures w14:val="standardContextual"/>
        </w:rPr>
        <w:t>pielikums – Piegādes līguma projekta II daļa (vispārīgie noteikumi)</w:t>
      </w:r>
    </w:p>
    <w:sectPr w:rsidR="000F6128" w:rsidRPr="003556B3" w:rsidSect="0091169A">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702"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B832" w14:textId="77777777" w:rsidR="00363A96" w:rsidRDefault="00363A96" w:rsidP="00E715BB">
      <w:pPr>
        <w:spacing w:after="0" w:line="240" w:lineRule="auto"/>
      </w:pPr>
      <w:r>
        <w:separator/>
      </w:r>
    </w:p>
  </w:endnote>
  <w:endnote w:type="continuationSeparator" w:id="0">
    <w:p w14:paraId="6977372E" w14:textId="77777777" w:rsidR="00363A96" w:rsidRDefault="00363A96" w:rsidP="00E7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panose1 w:val="02030602050306030303"/>
    <w:charset w:val="BA"/>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Bitter">
    <w:panose1 w:val="00000000000000000000"/>
    <w:charset w:val="BA"/>
    <w:family w:val="auto"/>
    <w:pitch w:val="variable"/>
    <w:sig w:usb0="A00002FF" w:usb1="400020FB" w:usb2="00000000" w:usb3="00000000" w:csb0="00000197" w:csb1="00000000"/>
  </w:font>
  <w:font w:name="Bitter Black">
    <w:panose1 w:val="00000000000000000000"/>
    <w:charset w:val="BA"/>
    <w:family w:val="auto"/>
    <w:pitch w:val="variable"/>
    <w:sig w:usb0="A00002FF" w:usb1="400020FB" w:usb2="00000000" w:usb3="00000000" w:csb0="00000197" w:csb1="00000000"/>
  </w:font>
  <w:font w:name="Aptos Display">
    <w:charset w:val="00"/>
    <w:family w:val="swiss"/>
    <w:pitch w:val="variable"/>
    <w:sig w:usb0="20000287" w:usb1="00000003"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3B83" w14:textId="77777777" w:rsidR="0016740F" w:rsidRDefault="001674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471763"/>
      <w:docPartObj>
        <w:docPartGallery w:val="Page Numbers (Bottom of Page)"/>
        <w:docPartUnique/>
      </w:docPartObj>
    </w:sdtPr>
    <w:sdtEndPr>
      <w:rPr>
        <w:noProof/>
        <w:color w:val="046241"/>
      </w:rPr>
    </w:sdtEndPr>
    <w:sdtContent>
      <w:p w14:paraId="47916E86" w14:textId="38D00A27" w:rsidR="00E715BB" w:rsidRPr="00E715BB" w:rsidRDefault="00E715BB">
        <w:pPr>
          <w:pStyle w:val="Kjene"/>
          <w:jc w:val="center"/>
          <w:rPr>
            <w:color w:val="046241"/>
          </w:rPr>
        </w:pPr>
        <w:r w:rsidRPr="00E715BB">
          <w:rPr>
            <w:noProof/>
            <w:color w:val="046241"/>
          </w:rPr>
          <w:drawing>
            <wp:anchor distT="0" distB="0" distL="114300" distR="114300" simplePos="0" relativeHeight="251659264" behindDoc="1" locked="0" layoutInCell="1" allowOverlap="1" wp14:anchorId="6298AC78" wp14:editId="1EB0F045">
              <wp:simplePos x="0" y="0"/>
              <wp:positionH relativeFrom="page">
                <wp:posOffset>7620</wp:posOffset>
              </wp:positionH>
              <wp:positionV relativeFrom="paragraph">
                <wp:posOffset>-616111</wp:posOffset>
              </wp:positionV>
              <wp:extent cx="7677595" cy="1381966"/>
              <wp:effectExtent l="0" t="0" r="0" b="8890"/>
              <wp:wrapNone/>
              <wp:docPr id="2090303638" name="Attēls 54" descr="Attēls, kurā ir teksts, ekrānuzņēmums, font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ttēls, kurā ir teksts, ekrānuzņēmums, fonts, dizain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7677595" cy="1381966"/>
                      </a:xfrm>
                      <a:prstGeom prst="rect">
                        <a:avLst/>
                      </a:prstGeom>
                      <a:noFill/>
                    </pic:spPr>
                  </pic:pic>
                </a:graphicData>
              </a:graphic>
              <wp14:sizeRelH relativeFrom="page">
                <wp14:pctWidth>0</wp14:pctWidth>
              </wp14:sizeRelH>
              <wp14:sizeRelV relativeFrom="page">
                <wp14:pctHeight>0</wp14:pctHeight>
              </wp14:sizeRelV>
            </wp:anchor>
          </w:drawing>
        </w:r>
        <w:r w:rsidRPr="00E715BB">
          <w:rPr>
            <w:color w:val="046241"/>
          </w:rPr>
          <w:fldChar w:fldCharType="begin"/>
        </w:r>
        <w:r w:rsidRPr="00E715BB">
          <w:rPr>
            <w:color w:val="046241"/>
          </w:rPr>
          <w:instrText xml:space="preserve"> PAGE   \* MERGEFORMAT </w:instrText>
        </w:r>
        <w:r w:rsidRPr="00E715BB">
          <w:rPr>
            <w:color w:val="046241"/>
          </w:rPr>
          <w:fldChar w:fldCharType="separate"/>
        </w:r>
        <w:r w:rsidRPr="00E715BB">
          <w:rPr>
            <w:noProof/>
            <w:color w:val="046241"/>
          </w:rPr>
          <w:t>2</w:t>
        </w:r>
        <w:r w:rsidRPr="00E715BB">
          <w:rPr>
            <w:noProof/>
            <w:color w:val="046241"/>
          </w:rPr>
          <w:fldChar w:fldCharType="end"/>
        </w:r>
      </w:p>
    </w:sdtContent>
  </w:sdt>
  <w:p w14:paraId="3CFC3092" w14:textId="79832FDC" w:rsidR="00E715BB" w:rsidRDefault="00E715B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05695"/>
      <w:docPartObj>
        <w:docPartGallery w:val="Page Numbers (Bottom of Page)"/>
        <w:docPartUnique/>
      </w:docPartObj>
    </w:sdtPr>
    <w:sdtEndPr>
      <w:rPr>
        <w:noProof/>
        <w:color w:val="046241"/>
      </w:rPr>
    </w:sdtEndPr>
    <w:sdtContent>
      <w:p w14:paraId="4E07B94B" w14:textId="77777777" w:rsidR="00DA5DAE" w:rsidRPr="00E715BB" w:rsidRDefault="00DA5DAE" w:rsidP="00DA5DAE">
        <w:pPr>
          <w:pStyle w:val="Kjene"/>
          <w:jc w:val="center"/>
          <w:rPr>
            <w:color w:val="046241"/>
          </w:rPr>
        </w:pPr>
        <w:r w:rsidRPr="00E715BB">
          <w:rPr>
            <w:noProof/>
            <w:color w:val="046241"/>
          </w:rPr>
          <w:drawing>
            <wp:anchor distT="0" distB="0" distL="114300" distR="114300" simplePos="0" relativeHeight="251663360" behindDoc="1" locked="0" layoutInCell="1" allowOverlap="1" wp14:anchorId="195C4425" wp14:editId="03AF0760">
              <wp:simplePos x="0" y="0"/>
              <wp:positionH relativeFrom="page">
                <wp:posOffset>7620</wp:posOffset>
              </wp:positionH>
              <wp:positionV relativeFrom="paragraph">
                <wp:posOffset>-616111</wp:posOffset>
              </wp:positionV>
              <wp:extent cx="7677595" cy="1381966"/>
              <wp:effectExtent l="0" t="0" r="0" b="8890"/>
              <wp:wrapNone/>
              <wp:docPr id="88778189" name="Attēls 54" descr="Attēls, kurā ir teksts, ekrānuzņēmums, font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ttēls, kurā ir teksts, ekrānuzņēmums, fonts, dizain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7677595" cy="1381966"/>
                      </a:xfrm>
                      <a:prstGeom prst="rect">
                        <a:avLst/>
                      </a:prstGeom>
                      <a:noFill/>
                    </pic:spPr>
                  </pic:pic>
                </a:graphicData>
              </a:graphic>
              <wp14:sizeRelH relativeFrom="page">
                <wp14:pctWidth>0</wp14:pctWidth>
              </wp14:sizeRelH>
              <wp14:sizeRelV relativeFrom="page">
                <wp14:pctHeight>0</wp14:pctHeight>
              </wp14:sizeRelV>
            </wp:anchor>
          </w:drawing>
        </w:r>
        <w:r w:rsidRPr="00E715BB">
          <w:rPr>
            <w:color w:val="046241"/>
          </w:rPr>
          <w:fldChar w:fldCharType="begin"/>
        </w:r>
        <w:r w:rsidRPr="00E715BB">
          <w:rPr>
            <w:color w:val="046241"/>
          </w:rPr>
          <w:instrText xml:space="preserve"> PAGE   \* MERGEFORMAT </w:instrText>
        </w:r>
        <w:r w:rsidRPr="00E715BB">
          <w:rPr>
            <w:color w:val="046241"/>
          </w:rPr>
          <w:fldChar w:fldCharType="separate"/>
        </w:r>
        <w:r>
          <w:rPr>
            <w:color w:val="046241"/>
          </w:rPr>
          <w:t>2</w:t>
        </w:r>
        <w:r w:rsidRPr="00E715BB">
          <w:rPr>
            <w:noProof/>
            <w:color w:val="046241"/>
          </w:rPr>
          <w:fldChar w:fldCharType="end"/>
        </w:r>
      </w:p>
    </w:sdtContent>
  </w:sdt>
  <w:p w14:paraId="435B4B45" w14:textId="0A665EEA" w:rsidR="00DA5DAE" w:rsidRDefault="00DA5DAE">
    <w:pPr>
      <w:pStyle w:val="Kjene"/>
    </w:pPr>
    <w:r w:rsidRPr="00E715BB">
      <w:rPr>
        <w:noProof/>
        <w:color w:val="046241"/>
      </w:rPr>
      <w:drawing>
        <wp:anchor distT="0" distB="0" distL="114300" distR="114300" simplePos="0" relativeHeight="251661312" behindDoc="1" locked="0" layoutInCell="1" allowOverlap="1" wp14:anchorId="1453FFC4" wp14:editId="612E8308">
          <wp:simplePos x="0" y="0"/>
          <wp:positionH relativeFrom="page">
            <wp:posOffset>-113826</wp:posOffset>
          </wp:positionH>
          <wp:positionV relativeFrom="paragraph">
            <wp:posOffset>-768350</wp:posOffset>
          </wp:positionV>
          <wp:extent cx="7677595" cy="1381966"/>
          <wp:effectExtent l="0" t="0" r="0" b="8890"/>
          <wp:wrapNone/>
          <wp:docPr id="941554370" name="Attēls 54" descr="Attēls, kurā ir teksts, ekrānuzņēmums, font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ttēls, kurā ir teksts, ekrānuzņēmums, fonts, dizain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7677595" cy="1381966"/>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1C18" w14:textId="77777777" w:rsidR="00363A96" w:rsidRDefault="00363A96" w:rsidP="00E715BB">
      <w:pPr>
        <w:spacing w:after="0" w:line="240" w:lineRule="auto"/>
      </w:pPr>
      <w:r>
        <w:separator/>
      </w:r>
    </w:p>
  </w:footnote>
  <w:footnote w:type="continuationSeparator" w:id="0">
    <w:p w14:paraId="2C4989B0" w14:textId="77777777" w:rsidR="00363A96" w:rsidRDefault="00363A96" w:rsidP="00E7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CAE5" w14:textId="77777777" w:rsidR="0016740F" w:rsidRDefault="001674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6241"/>
      <w:tblLook w:val="04A0" w:firstRow="1" w:lastRow="0" w:firstColumn="1" w:lastColumn="0" w:noHBand="0" w:noVBand="1"/>
    </w:tblPr>
    <w:tblGrid>
      <w:gridCol w:w="9356"/>
    </w:tblGrid>
    <w:tr w:rsidR="00DE1503" w:rsidRPr="00B206B7" w14:paraId="34E642E4" w14:textId="77777777" w:rsidTr="00C102FA">
      <w:trPr>
        <w:cantSplit/>
        <w:trHeight w:val="284"/>
      </w:trPr>
      <w:tc>
        <w:tcPr>
          <w:tcW w:w="9356" w:type="dxa"/>
          <w:shd w:val="clear" w:color="auto" w:fill="046241"/>
          <w:vAlign w:val="center"/>
        </w:tcPr>
        <w:p w14:paraId="672FEEBA" w14:textId="4BBFA2A3" w:rsidR="00DE1503" w:rsidRPr="0031099A" w:rsidRDefault="000F6128" w:rsidP="00DE1503">
          <w:pPr>
            <w:pStyle w:val="Pamatteksts"/>
            <w:ind w:left="179"/>
            <w:jc w:val="center"/>
            <w:rPr>
              <w:rFonts w:ascii="Bitter Black" w:hAnsi="Bitter Black" w:cs="Times New Roman"/>
              <w:color w:val="FFFFFF" w:themeColor="background1"/>
            </w:rPr>
          </w:pPr>
          <w:r w:rsidRPr="000F6128">
            <w:rPr>
              <w:rFonts w:ascii="Bitter Black" w:hAnsi="Bitter Black" w:cs="Times New Roman"/>
              <w:color w:val="FFFFFF" w:themeColor="background1"/>
            </w:rPr>
            <w:t>NOTEIKUMI, KĀDĀ VEIDĀ TIEK SLĒGTI ILGTERMIŅA KOKSNES PIEGĀDES LĪGUMI STRATĒĢISKI NOZĪMĪGIEM UN PRIORITĀRIEM INDUSTRIĀLAJIEM PROJEKTIEM</w:t>
          </w:r>
        </w:p>
      </w:tc>
    </w:tr>
  </w:tbl>
  <w:p w14:paraId="0C73345E" w14:textId="77777777" w:rsidR="00DE1503" w:rsidRDefault="00DE150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D293" w14:textId="79C3507F" w:rsidR="00585FFC" w:rsidRDefault="00585FFC" w:rsidP="00761EF6">
    <w:pPr>
      <w:pStyle w:val="Galvene"/>
      <w:jc w:val="right"/>
    </w:pPr>
    <w:r>
      <w:t>Apstiprināti ar LVM 0</w:t>
    </w:r>
    <w:r w:rsidR="0016740F">
      <w:t>2</w:t>
    </w:r>
    <w:r>
      <w:t>.06.2025. valdes lēmumu Nr. 216</w:t>
    </w:r>
  </w:p>
  <w:p w14:paraId="565407E2" w14:textId="77071B0E" w:rsidR="00585FFC" w:rsidRDefault="00585FFC" w:rsidP="00761EF6">
    <w:pPr>
      <w:pStyle w:val="Galvene"/>
      <w:jc w:val="right"/>
    </w:pPr>
    <w:r>
      <w:t>(</w:t>
    </w:r>
    <w:r w:rsidRPr="00585FFC">
      <w:t>protokols Nr.24/2025; 3.punkts)</w:t>
    </w:r>
    <w:r>
      <w:t xml:space="preserve"> </w:t>
    </w:r>
  </w:p>
  <w:p w14:paraId="1FEFB6B0" w14:textId="77777777" w:rsidR="00585FFC" w:rsidRDefault="00585FFC" w:rsidP="00761EF6">
    <w:pPr>
      <w:pStyle w:val="Galvene"/>
      <w:jc w:val="right"/>
    </w:pPr>
  </w:p>
  <w:p w14:paraId="4DA6108C" w14:textId="11ED43F0" w:rsidR="00761EF6" w:rsidRDefault="00FB548A" w:rsidP="00761EF6">
    <w:pPr>
      <w:pStyle w:val="Galvene"/>
      <w:jc w:val="right"/>
    </w:pPr>
    <w:r>
      <w:t>SRT</w:t>
    </w:r>
    <w:r w:rsidR="00761EF6">
      <w:t>_</w:t>
    </w:r>
    <w:r>
      <w:t>ILGT</w:t>
    </w:r>
    <w:r w:rsidR="00761EF6">
      <w:t>_</w:t>
    </w:r>
    <w:r>
      <w:t>NOT_</w:t>
    </w:r>
    <w:r w:rsidR="00761EF6">
      <w:t>2025_1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74D"/>
    <w:multiLevelType w:val="hybridMultilevel"/>
    <w:tmpl w:val="60EEF7E4"/>
    <w:lvl w:ilvl="0" w:tplc="7E389288">
      <w:numFmt w:val="bullet"/>
      <w:lvlText w:val="-"/>
      <w:lvlJc w:val="left"/>
      <w:pPr>
        <w:ind w:left="720" w:hanging="360"/>
      </w:pPr>
      <w:rPr>
        <w:rFonts w:ascii="Constantia" w:eastAsiaTheme="minorHAnsi" w:hAnsi="Constantia"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B2ACB"/>
    <w:multiLevelType w:val="hybridMultilevel"/>
    <w:tmpl w:val="D208F8B8"/>
    <w:lvl w:ilvl="0" w:tplc="699CE0C4">
      <w:start w:val="1"/>
      <w:numFmt w:val="decimal"/>
      <w:lvlText w:val="%1."/>
      <w:lvlJc w:val="left"/>
      <w:pPr>
        <w:ind w:left="1080" w:hanging="720"/>
      </w:pPr>
      <w:rPr>
        <w:rFonts w:asciiTheme="minorHAnsi" w:eastAsiaTheme="minorHAnsi" w:hAnsiTheme="minorHAnsi" w:cstheme="minorHAnsi"/>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51FED"/>
    <w:multiLevelType w:val="hybridMultilevel"/>
    <w:tmpl w:val="7666B2DA"/>
    <w:lvl w:ilvl="0" w:tplc="DAD6C9FE">
      <w:start w:val="1"/>
      <w:numFmt w:val="upperRoman"/>
      <w:lvlText w:val="%1."/>
      <w:lvlJc w:val="left"/>
      <w:pPr>
        <w:ind w:left="1080" w:hanging="720"/>
      </w:pPr>
      <w:rPr>
        <w:rFonts w:hint="default"/>
      </w:rPr>
    </w:lvl>
    <w:lvl w:ilvl="1" w:tplc="F3C8FE1C">
      <w:start w:val="1"/>
      <w:numFmt w:val="decimal"/>
      <w:lvlText w:val="%2."/>
      <w:lvlJc w:val="left"/>
      <w:pPr>
        <w:ind w:left="1440" w:hanging="360"/>
      </w:pPr>
      <w:rPr>
        <w:rFonts w:hint="default"/>
      </w:rPr>
    </w:lvl>
    <w:lvl w:ilvl="2" w:tplc="F3C8FE1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62EAA"/>
    <w:multiLevelType w:val="multilevel"/>
    <w:tmpl w:val="54ACA4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6F7819"/>
    <w:multiLevelType w:val="hybridMultilevel"/>
    <w:tmpl w:val="512A52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D42F6"/>
    <w:multiLevelType w:val="hybridMultilevel"/>
    <w:tmpl w:val="C04480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BE63EE"/>
    <w:multiLevelType w:val="hybridMultilevel"/>
    <w:tmpl w:val="B3DC6C5A"/>
    <w:lvl w:ilvl="0" w:tplc="34480908">
      <w:start w:val="1"/>
      <w:numFmt w:val="upperRoman"/>
      <w:lvlText w:val="%1."/>
      <w:lvlJc w:val="left"/>
      <w:pPr>
        <w:ind w:left="1440" w:hanging="72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EE7122D"/>
    <w:multiLevelType w:val="hybridMultilevel"/>
    <w:tmpl w:val="D6922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DF4E1B"/>
    <w:multiLevelType w:val="hybridMultilevel"/>
    <w:tmpl w:val="2FD09AC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C7FA6"/>
    <w:multiLevelType w:val="multilevel"/>
    <w:tmpl w:val="54ACA4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1F3B99"/>
    <w:multiLevelType w:val="hybridMultilevel"/>
    <w:tmpl w:val="1CAEA9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B90A00"/>
    <w:multiLevelType w:val="multilevel"/>
    <w:tmpl w:val="54ACA4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B203B7"/>
    <w:multiLevelType w:val="hybridMultilevel"/>
    <w:tmpl w:val="2F6A58B2"/>
    <w:lvl w:ilvl="0" w:tplc="FF0625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D35CCD"/>
    <w:multiLevelType w:val="hybridMultilevel"/>
    <w:tmpl w:val="E04A1078"/>
    <w:lvl w:ilvl="0" w:tplc="EBE8B0B4">
      <w:start w:val="3"/>
      <w:numFmt w:val="bullet"/>
      <w:lvlText w:val="-"/>
      <w:lvlJc w:val="left"/>
      <w:pPr>
        <w:ind w:left="-502" w:hanging="360"/>
      </w:pPr>
      <w:rPr>
        <w:rFonts w:ascii="Times New Roman" w:eastAsiaTheme="minorHAnsi" w:hAnsi="Times New Roman" w:cs="Times New Roman" w:hint="default"/>
        <w:color w:val="000000"/>
      </w:rPr>
    </w:lvl>
    <w:lvl w:ilvl="1" w:tplc="04260003" w:tentative="1">
      <w:start w:val="1"/>
      <w:numFmt w:val="bullet"/>
      <w:lvlText w:val="o"/>
      <w:lvlJc w:val="left"/>
      <w:pPr>
        <w:ind w:left="218" w:hanging="360"/>
      </w:pPr>
      <w:rPr>
        <w:rFonts w:ascii="Courier New" w:hAnsi="Courier New" w:cs="Courier New" w:hint="default"/>
      </w:rPr>
    </w:lvl>
    <w:lvl w:ilvl="2" w:tplc="04260005" w:tentative="1">
      <w:start w:val="1"/>
      <w:numFmt w:val="bullet"/>
      <w:lvlText w:val=""/>
      <w:lvlJc w:val="left"/>
      <w:pPr>
        <w:ind w:left="938" w:hanging="360"/>
      </w:pPr>
      <w:rPr>
        <w:rFonts w:ascii="Wingdings" w:hAnsi="Wingdings" w:hint="default"/>
      </w:rPr>
    </w:lvl>
    <w:lvl w:ilvl="3" w:tplc="04260001">
      <w:start w:val="1"/>
      <w:numFmt w:val="bullet"/>
      <w:lvlText w:val=""/>
      <w:lvlJc w:val="left"/>
      <w:pPr>
        <w:ind w:left="1658" w:hanging="360"/>
      </w:pPr>
      <w:rPr>
        <w:rFonts w:ascii="Symbol" w:hAnsi="Symbol" w:hint="default"/>
      </w:rPr>
    </w:lvl>
    <w:lvl w:ilvl="4" w:tplc="04260003" w:tentative="1">
      <w:start w:val="1"/>
      <w:numFmt w:val="bullet"/>
      <w:lvlText w:val="o"/>
      <w:lvlJc w:val="left"/>
      <w:pPr>
        <w:ind w:left="2378" w:hanging="360"/>
      </w:pPr>
      <w:rPr>
        <w:rFonts w:ascii="Courier New" w:hAnsi="Courier New" w:cs="Courier New" w:hint="default"/>
      </w:rPr>
    </w:lvl>
    <w:lvl w:ilvl="5" w:tplc="04260005" w:tentative="1">
      <w:start w:val="1"/>
      <w:numFmt w:val="bullet"/>
      <w:lvlText w:val=""/>
      <w:lvlJc w:val="left"/>
      <w:pPr>
        <w:ind w:left="3098" w:hanging="360"/>
      </w:pPr>
      <w:rPr>
        <w:rFonts w:ascii="Wingdings" w:hAnsi="Wingdings" w:hint="default"/>
      </w:rPr>
    </w:lvl>
    <w:lvl w:ilvl="6" w:tplc="04260001" w:tentative="1">
      <w:start w:val="1"/>
      <w:numFmt w:val="bullet"/>
      <w:lvlText w:val=""/>
      <w:lvlJc w:val="left"/>
      <w:pPr>
        <w:ind w:left="3818" w:hanging="360"/>
      </w:pPr>
      <w:rPr>
        <w:rFonts w:ascii="Symbol" w:hAnsi="Symbol" w:hint="default"/>
      </w:rPr>
    </w:lvl>
    <w:lvl w:ilvl="7" w:tplc="04260003" w:tentative="1">
      <w:start w:val="1"/>
      <w:numFmt w:val="bullet"/>
      <w:lvlText w:val="o"/>
      <w:lvlJc w:val="left"/>
      <w:pPr>
        <w:ind w:left="4538" w:hanging="360"/>
      </w:pPr>
      <w:rPr>
        <w:rFonts w:ascii="Courier New" w:hAnsi="Courier New" w:cs="Courier New" w:hint="default"/>
      </w:rPr>
    </w:lvl>
    <w:lvl w:ilvl="8" w:tplc="04260005" w:tentative="1">
      <w:start w:val="1"/>
      <w:numFmt w:val="bullet"/>
      <w:lvlText w:val=""/>
      <w:lvlJc w:val="left"/>
      <w:pPr>
        <w:ind w:left="5258" w:hanging="360"/>
      </w:pPr>
      <w:rPr>
        <w:rFonts w:ascii="Wingdings" w:hAnsi="Wingdings" w:hint="default"/>
      </w:rPr>
    </w:lvl>
  </w:abstractNum>
  <w:abstractNum w:abstractNumId="14" w15:restartNumberingAfterBreak="0">
    <w:nsid w:val="64B843B1"/>
    <w:multiLevelType w:val="multilevel"/>
    <w:tmpl w:val="61D82A74"/>
    <w:lvl w:ilvl="0">
      <w:start w:val="4"/>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val="0"/>
        <w:color w:val="FF000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766D74E6"/>
    <w:multiLevelType w:val="hybridMultilevel"/>
    <w:tmpl w:val="F8BE303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3503330">
    <w:abstractNumId w:val="2"/>
  </w:num>
  <w:num w:numId="2" w16cid:durableId="1501115319">
    <w:abstractNumId w:val="7"/>
  </w:num>
  <w:num w:numId="3" w16cid:durableId="1475222728">
    <w:abstractNumId w:val="12"/>
  </w:num>
  <w:num w:numId="4" w16cid:durableId="585262575">
    <w:abstractNumId w:val="10"/>
  </w:num>
  <w:num w:numId="5" w16cid:durableId="471951088">
    <w:abstractNumId w:val="9"/>
  </w:num>
  <w:num w:numId="6" w16cid:durableId="1404569928">
    <w:abstractNumId w:val="11"/>
  </w:num>
  <w:num w:numId="7" w16cid:durableId="1821001388">
    <w:abstractNumId w:val="3"/>
  </w:num>
  <w:num w:numId="8" w16cid:durableId="2093775087">
    <w:abstractNumId w:val="13"/>
  </w:num>
  <w:num w:numId="9" w16cid:durableId="1662007666">
    <w:abstractNumId w:val="6"/>
  </w:num>
  <w:num w:numId="10" w16cid:durableId="199246054">
    <w:abstractNumId w:val="5"/>
  </w:num>
  <w:num w:numId="11" w16cid:durableId="1793599210">
    <w:abstractNumId w:val="14"/>
  </w:num>
  <w:num w:numId="12" w16cid:durableId="637031652">
    <w:abstractNumId w:val="0"/>
  </w:num>
  <w:num w:numId="13" w16cid:durableId="910391775">
    <w:abstractNumId w:val="8"/>
  </w:num>
  <w:num w:numId="14" w16cid:durableId="1598370306">
    <w:abstractNumId w:val="15"/>
  </w:num>
  <w:num w:numId="15" w16cid:durableId="35005919">
    <w:abstractNumId w:val="4"/>
  </w:num>
  <w:num w:numId="16" w16cid:durableId="148196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f8f8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BB"/>
    <w:rsid w:val="00016C86"/>
    <w:rsid w:val="0002628E"/>
    <w:rsid w:val="00033C67"/>
    <w:rsid w:val="000434BB"/>
    <w:rsid w:val="00047395"/>
    <w:rsid w:val="000663C7"/>
    <w:rsid w:val="00073D1F"/>
    <w:rsid w:val="00087BE5"/>
    <w:rsid w:val="000965DF"/>
    <w:rsid w:val="000B6169"/>
    <w:rsid w:val="000D429E"/>
    <w:rsid w:val="000F6128"/>
    <w:rsid w:val="00107DBF"/>
    <w:rsid w:val="00163027"/>
    <w:rsid w:val="0016740F"/>
    <w:rsid w:val="001803D0"/>
    <w:rsid w:val="00190234"/>
    <w:rsid w:val="001F5176"/>
    <w:rsid w:val="00214D8A"/>
    <w:rsid w:val="00232413"/>
    <w:rsid w:val="00237EF2"/>
    <w:rsid w:val="00262429"/>
    <w:rsid w:val="00274571"/>
    <w:rsid w:val="002914D0"/>
    <w:rsid w:val="00291D22"/>
    <w:rsid w:val="002A462C"/>
    <w:rsid w:val="002A4C16"/>
    <w:rsid w:val="002B2706"/>
    <w:rsid w:val="002C5B29"/>
    <w:rsid w:val="00307E79"/>
    <w:rsid w:val="0031099A"/>
    <w:rsid w:val="0032780C"/>
    <w:rsid w:val="00330ACB"/>
    <w:rsid w:val="00341572"/>
    <w:rsid w:val="003439C8"/>
    <w:rsid w:val="00344C71"/>
    <w:rsid w:val="003472AF"/>
    <w:rsid w:val="003556B3"/>
    <w:rsid w:val="00363A96"/>
    <w:rsid w:val="00364C01"/>
    <w:rsid w:val="00385D11"/>
    <w:rsid w:val="00386462"/>
    <w:rsid w:val="003875F5"/>
    <w:rsid w:val="003957B2"/>
    <w:rsid w:val="003B4F29"/>
    <w:rsid w:val="003B7150"/>
    <w:rsid w:val="00403781"/>
    <w:rsid w:val="00410FB4"/>
    <w:rsid w:val="00436A80"/>
    <w:rsid w:val="004479FA"/>
    <w:rsid w:val="00497B3C"/>
    <w:rsid w:val="004C0958"/>
    <w:rsid w:val="004E6369"/>
    <w:rsid w:val="004F0FE4"/>
    <w:rsid w:val="00502AA9"/>
    <w:rsid w:val="00541654"/>
    <w:rsid w:val="005475A1"/>
    <w:rsid w:val="00585FFC"/>
    <w:rsid w:val="006006FE"/>
    <w:rsid w:val="00630FFE"/>
    <w:rsid w:val="00632240"/>
    <w:rsid w:val="00635BA0"/>
    <w:rsid w:val="00636879"/>
    <w:rsid w:val="006A6181"/>
    <w:rsid w:val="006F75E7"/>
    <w:rsid w:val="00707C68"/>
    <w:rsid w:val="0071487C"/>
    <w:rsid w:val="007355A2"/>
    <w:rsid w:val="00737397"/>
    <w:rsid w:val="00757650"/>
    <w:rsid w:val="00761EF6"/>
    <w:rsid w:val="0076790E"/>
    <w:rsid w:val="007762F3"/>
    <w:rsid w:val="00780091"/>
    <w:rsid w:val="00780988"/>
    <w:rsid w:val="00787708"/>
    <w:rsid w:val="007A5D63"/>
    <w:rsid w:val="007B373E"/>
    <w:rsid w:val="007D113F"/>
    <w:rsid w:val="007F5511"/>
    <w:rsid w:val="00801468"/>
    <w:rsid w:val="00866722"/>
    <w:rsid w:val="00870F4D"/>
    <w:rsid w:val="0087268F"/>
    <w:rsid w:val="008735D6"/>
    <w:rsid w:val="00876D10"/>
    <w:rsid w:val="00893D1D"/>
    <w:rsid w:val="00893D68"/>
    <w:rsid w:val="008A1E5E"/>
    <w:rsid w:val="008E0E82"/>
    <w:rsid w:val="008F11AF"/>
    <w:rsid w:val="0091169A"/>
    <w:rsid w:val="00924971"/>
    <w:rsid w:val="00950603"/>
    <w:rsid w:val="00985D77"/>
    <w:rsid w:val="009B6476"/>
    <w:rsid w:val="009D6331"/>
    <w:rsid w:val="00A035EC"/>
    <w:rsid w:val="00A217EE"/>
    <w:rsid w:val="00A30F31"/>
    <w:rsid w:val="00A40DBC"/>
    <w:rsid w:val="00A40DED"/>
    <w:rsid w:val="00A45E80"/>
    <w:rsid w:val="00A72663"/>
    <w:rsid w:val="00A77EE2"/>
    <w:rsid w:val="00A97191"/>
    <w:rsid w:val="00AA0A3E"/>
    <w:rsid w:val="00AD2696"/>
    <w:rsid w:val="00AD7356"/>
    <w:rsid w:val="00AF3567"/>
    <w:rsid w:val="00B145A7"/>
    <w:rsid w:val="00B175A0"/>
    <w:rsid w:val="00B34282"/>
    <w:rsid w:val="00B5202B"/>
    <w:rsid w:val="00B7428C"/>
    <w:rsid w:val="00BA024A"/>
    <w:rsid w:val="00BB3EDE"/>
    <w:rsid w:val="00BB70FE"/>
    <w:rsid w:val="00BC5853"/>
    <w:rsid w:val="00C04262"/>
    <w:rsid w:val="00C102FA"/>
    <w:rsid w:val="00C25B55"/>
    <w:rsid w:val="00C537EB"/>
    <w:rsid w:val="00C5679B"/>
    <w:rsid w:val="00CA3A83"/>
    <w:rsid w:val="00CB160A"/>
    <w:rsid w:val="00CC0FBD"/>
    <w:rsid w:val="00CD7C1E"/>
    <w:rsid w:val="00D377B2"/>
    <w:rsid w:val="00D57C16"/>
    <w:rsid w:val="00D76F32"/>
    <w:rsid w:val="00DA289F"/>
    <w:rsid w:val="00DA5DAE"/>
    <w:rsid w:val="00DD2C40"/>
    <w:rsid w:val="00DE1503"/>
    <w:rsid w:val="00E132F2"/>
    <w:rsid w:val="00E54D4F"/>
    <w:rsid w:val="00E556FB"/>
    <w:rsid w:val="00E61957"/>
    <w:rsid w:val="00E715BB"/>
    <w:rsid w:val="00EC3CAE"/>
    <w:rsid w:val="00ED1036"/>
    <w:rsid w:val="00ED2E37"/>
    <w:rsid w:val="00ED39CA"/>
    <w:rsid w:val="00ED3E06"/>
    <w:rsid w:val="00F11C9B"/>
    <w:rsid w:val="00F24E9C"/>
    <w:rsid w:val="00F46732"/>
    <w:rsid w:val="00F55179"/>
    <w:rsid w:val="00F635BB"/>
    <w:rsid w:val="00F66A00"/>
    <w:rsid w:val="00FA1303"/>
    <w:rsid w:val="00FB548A"/>
    <w:rsid w:val="00FD1AB8"/>
    <w:rsid w:val="00FD3005"/>
    <w:rsid w:val="00FF04C3"/>
    <w:rsid w:val="00FF14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9"/>
    </o:shapedefaults>
    <o:shapelayout v:ext="edit">
      <o:idmap v:ext="edit" data="2"/>
    </o:shapelayout>
  </w:shapeDefaults>
  <w:decimalSymbol w:val="."/>
  <w:listSeparator w:val=";"/>
  <w14:docId w14:val="74D1EF96"/>
  <w15:chartTrackingRefBased/>
  <w15:docId w15:val="{58836932-CADB-4C90-99F6-B974E16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15BB"/>
    <w:pPr>
      <w:jc w:val="both"/>
    </w:pPr>
    <w:rPr>
      <w:rFonts w:ascii="Franklin Gothic Book" w:hAnsi="Franklin Gothic Book"/>
    </w:rPr>
  </w:style>
  <w:style w:type="paragraph" w:styleId="Virsraksts1">
    <w:name w:val="heading 1"/>
    <w:basedOn w:val="Parasts"/>
    <w:next w:val="Parasts"/>
    <w:link w:val="Virsraksts1Rakstz"/>
    <w:uiPriority w:val="9"/>
    <w:qFormat/>
    <w:rsid w:val="000663C7"/>
    <w:pPr>
      <w:keepNext/>
      <w:keepLines/>
      <w:spacing w:before="360" w:after="80"/>
      <w:outlineLvl w:val="0"/>
    </w:pPr>
    <w:rPr>
      <w:rFonts w:ascii="Bitter" w:eastAsiaTheme="majorEastAsia" w:hAnsi="Bitter" w:cstheme="majorBidi"/>
      <w:b/>
      <w:caps/>
      <w:color w:val="046241"/>
      <w:szCs w:val="40"/>
    </w:rPr>
  </w:style>
  <w:style w:type="paragraph" w:styleId="Virsraksts2">
    <w:name w:val="heading 2"/>
    <w:basedOn w:val="Parasts"/>
    <w:next w:val="Parasts"/>
    <w:link w:val="Virsraksts2Rakstz"/>
    <w:uiPriority w:val="9"/>
    <w:unhideWhenUsed/>
    <w:qFormat/>
    <w:rsid w:val="00DE1503"/>
    <w:pPr>
      <w:keepNext/>
      <w:keepLines/>
      <w:spacing w:before="160" w:after="80"/>
      <w:jc w:val="center"/>
      <w:outlineLvl w:val="1"/>
    </w:pPr>
    <w:rPr>
      <w:rFonts w:ascii="Bitter Black" w:eastAsiaTheme="majorEastAsia" w:hAnsi="Bitter Black" w:cstheme="majorBidi"/>
      <w:caps/>
      <w:color w:val="046241"/>
      <w:sz w:val="24"/>
      <w:szCs w:val="32"/>
    </w:rPr>
  </w:style>
  <w:style w:type="paragraph" w:styleId="Virsraksts3">
    <w:name w:val="heading 3"/>
    <w:basedOn w:val="Parasts"/>
    <w:next w:val="Parasts"/>
    <w:link w:val="Virsraksts3Rakstz"/>
    <w:uiPriority w:val="9"/>
    <w:semiHidden/>
    <w:unhideWhenUsed/>
    <w:qFormat/>
    <w:rsid w:val="00E715B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715B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715B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715B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715B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715B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715B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663C7"/>
    <w:rPr>
      <w:rFonts w:ascii="Bitter" w:eastAsiaTheme="majorEastAsia" w:hAnsi="Bitter" w:cstheme="majorBidi"/>
      <w:b/>
      <w:caps/>
      <w:color w:val="046241"/>
      <w:szCs w:val="40"/>
    </w:rPr>
  </w:style>
  <w:style w:type="character" w:customStyle="1" w:styleId="Virsraksts2Rakstz">
    <w:name w:val="Virsraksts 2 Rakstz."/>
    <w:basedOn w:val="Noklusjumarindkopasfonts"/>
    <w:link w:val="Virsraksts2"/>
    <w:uiPriority w:val="9"/>
    <w:rsid w:val="00DE1503"/>
    <w:rPr>
      <w:rFonts w:ascii="Bitter Black" w:eastAsiaTheme="majorEastAsia" w:hAnsi="Bitter Black" w:cstheme="majorBidi"/>
      <w:caps/>
      <w:color w:val="046241"/>
      <w:sz w:val="24"/>
      <w:szCs w:val="32"/>
    </w:rPr>
  </w:style>
  <w:style w:type="character" w:customStyle="1" w:styleId="Virsraksts3Rakstz">
    <w:name w:val="Virsraksts 3 Rakstz."/>
    <w:basedOn w:val="Noklusjumarindkopasfonts"/>
    <w:link w:val="Virsraksts3"/>
    <w:uiPriority w:val="9"/>
    <w:semiHidden/>
    <w:rsid w:val="00E715B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715B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715B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715B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715B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715B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715B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71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715B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715B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715B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715B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715BB"/>
    <w:rPr>
      <w:i/>
      <w:iCs/>
      <w:color w:val="404040" w:themeColor="text1" w:themeTint="BF"/>
    </w:rPr>
  </w:style>
  <w:style w:type="paragraph" w:styleId="Sarakstarindkopa">
    <w:name w:val="List Paragraph"/>
    <w:basedOn w:val="Parasts"/>
    <w:uiPriority w:val="34"/>
    <w:qFormat/>
    <w:rsid w:val="00E715BB"/>
    <w:pPr>
      <w:ind w:left="720"/>
      <w:contextualSpacing/>
    </w:pPr>
  </w:style>
  <w:style w:type="character" w:styleId="Intensvsizclums">
    <w:name w:val="Intense Emphasis"/>
    <w:basedOn w:val="Noklusjumarindkopasfonts"/>
    <w:uiPriority w:val="21"/>
    <w:qFormat/>
    <w:rsid w:val="00E715BB"/>
    <w:rPr>
      <w:i/>
      <w:iCs/>
      <w:color w:val="0F4761" w:themeColor="accent1" w:themeShade="BF"/>
    </w:rPr>
  </w:style>
  <w:style w:type="paragraph" w:styleId="Intensvscitts">
    <w:name w:val="Intense Quote"/>
    <w:basedOn w:val="Parasts"/>
    <w:next w:val="Parasts"/>
    <w:link w:val="IntensvscittsRakstz"/>
    <w:uiPriority w:val="30"/>
    <w:qFormat/>
    <w:rsid w:val="00E71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715BB"/>
    <w:rPr>
      <w:i/>
      <w:iCs/>
      <w:color w:val="0F4761" w:themeColor="accent1" w:themeShade="BF"/>
    </w:rPr>
  </w:style>
  <w:style w:type="character" w:styleId="Intensvaatsauce">
    <w:name w:val="Intense Reference"/>
    <w:basedOn w:val="Noklusjumarindkopasfonts"/>
    <w:uiPriority w:val="32"/>
    <w:qFormat/>
    <w:rsid w:val="00E715BB"/>
    <w:rPr>
      <w:b/>
      <w:bCs/>
      <w:smallCaps/>
      <w:color w:val="0F4761" w:themeColor="accent1" w:themeShade="BF"/>
      <w:spacing w:val="5"/>
    </w:rPr>
  </w:style>
  <w:style w:type="paragraph" w:styleId="Galvene">
    <w:name w:val="header"/>
    <w:basedOn w:val="Parasts"/>
    <w:link w:val="GalveneRakstz"/>
    <w:uiPriority w:val="99"/>
    <w:unhideWhenUsed/>
    <w:rsid w:val="00E715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15BB"/>
    <w:rPr>
      <w:rFonts w:ascii="Franklin Gothic Book" w:hAnsi="Franklin Gothic Book"/>
    </w:rPr>
  </w:style>
  <w:style w:type="paragraph" w:styleId="Kjene">
    <w:name w:val="footer"/>
    <w:basedOn w:val="Parasts"/>
    <w:link w:val="KjeneRakstz"/>
    <w:uiPriority w:val="99"/>
    <w:unhideWhenUsed/>
    <w:rsid w:val="00E715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15BB"/>
    <w:rPr>
      <w:rFonts w:ascii="Franklin Gothic Book" w:hAnsi="Franklin Gothic Book"/>
    </w:rPr>
  </w:style>
  <w:style w:type="paragraph" w:styleId="Saturardtjavirsraksts">
    <w:name w:val="TOC Heading"/>
    <w:basedOn w:val="Virsraksts1"/>
    <w:next w:val="Parasts"/>
    <w:uiPriority w:val="39"/>
    <w:unhideWhenUsed/>
    <w:qFormat/>
    <w:rsid w:val="000663C7"/>
    <w:pPr>
      <w:spacing w:before="240" w:after="0"/>
      <w:jc w:val="left"/>
      <w:outlineLvl w:val="9"/>
    </w:pPr>
    <w:rPr>
      <w:rFonts w:asciiTheme="majorHAnsi" w:hAnsiTheme="majorHAnsi"/>
      <w:b w:val="0"/>
      <w:caps w:val="0"/>
      <w:color w:val="0F4761" w:themeColor="accent1" w:themeShade="BF"/>
      <w:kern w:val="0"/>
      <w:sz w:val="32"/>
      <w:szCs w:val="32"/>
      <w:lang w:val="en-US"/>
      <w14:ligatures w14:val="none"/>
    </w:rPr>
  </w:style>
  <w:style w:type="paragraph" w:styleId="Saturs1">
    <w:name w:val="toc 1"/>
    <w:basedOn w:val="Parasts"/>
    <w:next w:val="Parasts"/>
    <w:autoRedefine/>
    <w:uiPriority w:val="39"/>
    <w:unhideWhenUsed/>
    <w:rsid w:val="000663C7"/>
    <w:pPr>
      <w:spacing w:after="100"/>
    </w:pPr>
  </w:style>
  <w:style w:type="character" w:styleId="Hipersaite">
    <w:name w:val="Hyperlink"/>
    <w:basedOn w:val="Noklusjumarindkopasfonts"/>
    <w:uiPriority w:val="99"/>
    <w:unhideWhenUsed/>
    <w:rsid w:val="000663C7"/>
    <w:rPr>
      <w:color w:val="467886" w:themeColor="hyperlink"/>
      <w:u w:val="single"/>
    </w:rPr>
  </w:style>
  <w:style w:type="paragraph" w:styleId="Pamatteksts">
    <w:name w:val="Body Text"/>
    <w:basedOn w:val="Parasts"/>
    <w:link w:val="PamattekstsRakstz"/>
    <w:uiPriority w:val="1"/>
    <w:qFormat/>
    <w:rsid w:val="0031099A"/>
    <w:pPr>
      <w:widowControl w:val="0"/>
      <w:autoSpaceDE w:val="0"/>
      <w:autoSpaceDN w:val="0"/>
      <w:spacing w:after="0" w:line="240" w:lineRule="auto"/>
      <w:jc w:val="left"/>
    </w:pPr>
    <w:rPr>
      <w:rFonts w:ascii="Book Antiqua" w:eastAsia="Book Antiqua" w:hAnsi="Book Antiqua" w:cs="Book Antiqua"/>
      <w:kern w:val="0"/>
      <w:sz w:val="21"/>
      <w:szCs w:val="21"/>
      <w:lang w:eastAsia="lv-LV" w:bidi="lv-LV"/>
      <w14:ligatures w14:val="none"/>
    </w:rPr>
  </w:style>
  <w:style w:type="character" w:customStyle="1" w:styleId="PamattekstsRakstz">
    <w:name w:val="Pamatteksts Rakstz."/>
    <w:basedOn w:val="Noklusjumarindkopasfonts"/>
    <w:link w:val="Pamatteksts"/>
    <w:uiPriority w:val="1"/>
    <w:rsid w:val="0031099A"/>
    <w:rPr>
      <w:rFonts w:ascii="Book Antiqua" w:eastAsia="Book Antiqua" w:hAnsi="Book Antiqua" w:cs="Book Antiqua"/>
      <w:kern w:val="0"/>
      <w:sz w:val="21"/>
      <w:szCs w:val="21"/>
      <w:lang w:eastAsia="lv-LV" w:bidi="lv-LV"/>
      <w14:ligatures w14:val="none"/>
    </w:rPr>
  </w:style>
  <w:style w:type="table" w:styleId="Reatabula">
    <w:name w:val="Table Grid"/>
    <w:basedOn w:val="Parastatabula"/>
    <w:uiPriority w:val="39"/>
    <w:rsid w:val="003109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36A80"/>
    <w:rPr>
      <w:color w:val="605E5C"/>
      <w:shd w:val="clear" w:color="auto" w:fill="E1DFDD"/>
    </w:rPr>
  </w:style>
  <w:style w:type="character" w:styleId="Komentraatsauce">
    <w:name w:val="annotation reference"/>
    <w:basedOn w:val="Noklusjumarindkopasfonts"/>
    <w:uiPriority w:val="99"/>
    <w:semiHidden/>
    <w:unhideWhenUsed/>
    <w:rsid w:val="00866722"/>
    <w:rPr>
      <w:sz w:val="16"/>
      <w:szCs w:val="16"/>
    </w:rPr>
  </w:style>
  <w:style w:type="paragraph" w:styleId="Komentrateksts">
    <w:name w:val="annotation text"/>
    <w:basedOn w:val="Parasts"/>
    <w:link w:val="KomentratekstsRakstz"/>
    <w:uiPriority w:val="99"/>
    <w:unhideWhenUsed/>
    <w:rsid w:val="0086672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66722"/>
    <w:rPr>
      <w:rFonts w:ascii="Franklin Gothic Book" w:hAnsi="Franklin Gothic Book"/>
      <w:sz w:val="20"/>
      <w:szCs w:val="20"/>
    </w:rPr>
  </w:style>
  <w:style w:type="paragraph" w:styleId="Komentratma">
    <w:name w:val="annotation subject"/>
    <w:basedOn w:val="Komentrateksts"/>
    <w:next w:val="Komentrateksts"/>
    <w:link w:val="KomentratmaRakstz"/>
    <w:uiPriority w:val="99"/>
    <w:semiHidden/>
    <w:unhideWhenUsed/>
    <w:rsid w:val="00866722"/>
    <w:rPr>
      <w:b/>
      <w:bCs/>
    </w:rPr>
  </w:style>
  <w:style w:type="character" w:customStyle="1" w:styleId="KomentratmaRakstz">
    <w:name w:val="Komentāra tēma Rakstz."/>
    <w:basedOn w:val="KomentratekstsRakstz"/>
    <w:link w:val="Komentratma"/>
    <w:uiPriority w:val="99"/>
    <w:semiHidden/>
    <w:rsid w:val="00866722"/>
    <w:rPr>
      <w:rFonts w:ascii="Franklin Gothic Book" w:hAnsi="Franklin Gothic Book"/>
      <w:b/>
      <w:bCs/>
      <w:sz w:val="20"/>
      <w:szCs w:val="20"/>
    </w:rPr>
  </w:style>
  <w:style w:type="character" w:customStyle="1" w:styleId="c1">
    <w:name w:val="c1"/>
    <w:basedOn w:val="Noklusjumarindkopasfonts"/>
    <w:rsid w:val="006A6181"/>
  </w:style>
  <w:style w:type="paragraph" w:styleId="Prskatjums">
    <w:name w:val="Revision"/>
    <w:hidden/>
    <w:uiPriority w:val="99"/>
    <w:semiHidden/>
    <w:rsid w:val="00985D77"/>
    <w:pPr>
      <w:spacing w:after="0" w:line="240" w:lineRule="auto"/>
    </w:pPr>
    <w:rPr>
      <w:rFonts w:ascii="Franklin Gothic Book" w:hAnsi="Franklin Gothic Book"/>
    </w:rPr>
  </w:style>
  <w:style w:type="character" w:styleId="Izmantotahipersaite">
    <w:name w:val="FollowedHyperlink"/>
    <w:basedOn w:val="Noklusjumarindkopasfonts"/>
    <w:uiPriority w:val="99"/>
    <w:semiHidden/>
    <w:unhideWhenUsed/>
    <w:rsid w:val="00737397"/>
    <w:rPr>
      <w:color w:val="96607D" w:themeColor="followedHyperlink"/>
      <w:u w:val="single"/>
    </w:rPr>
  </w:style>
  <w:style w:type="paragraph" w:customStyle="1" w:styleId="Default">
    <w:name w:val="Default"/>
    <w:rsid w:val="000F6128"/>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1E257-85F9-45CE-895C-D52CAAA6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5468</Words>
  <Characters>3117</Characters>
  <Application>Microsoft Office Word</Application>
  <DocSecurity>0</DocSecurity>
  <Lines>25</Lines>
  <Paragraphs>17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14</vt:i4>
      </vt:variant>
    </vt:vector>
  </HeadingPairs>
  <TitlesOfParts>
    <vt:vector size="16" baseType="lpstr">
      <vt:lpstr/>
      <vt:lpstr/>
      <vt:lpstr>    Vispārīgie īstermiņa sadarbības noteikumi koksnes produktu iegādei 2025. gadā</vt:lpstr>
      <vt:lpstr>    Noteikumos lietotie termini un skaidrojumi</vt:lpstr>
      <vt:lpstr>    Pamatpiedāvājums</vt:lpstr>
      <vt:lpstr>Produkti</vt:lpstr>
      <vt:lpstr>Apaļo kokmateriālu references specifikācija</vt:lpstr>
      <vt:lpstr>Koksnes produktu kvalitāte</vt:lpstr>
      <vt:lpstr>Sadarbības noteikumi</vt:lpstr>
      <vt:lpstr>    Pakalpojumi</vt:lpstr>
      <vt:lpstr>    Uz koksnes produktu pircējiem attiecināmie kritēriji ĪSTERMIŅA sadarbībĀ</vt:lpstr>
      <vt:lpstr>    Koksnes produktu pārdošanas veidi un pieteikšanās termiņi</vt:lpstr>
      <vt:lpstr>    LVM tiesības un pienākumi</vt:lpstr>
      <vt:lpstr>    Pretendenta tiesības un pienākumi</vt:lpstr>
      <vt:lpstr>    Noslēguma noteikumi</vt:lpstr>
      <vt:lpstr>Pielikumi</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LVM</dc:creator>
  <cp:keywords/>
  <dc:description/>
  <cp:lastModifiedBy>Līga Ozola-Šmite</cp:lastModifiedBy>
  <cp:revision>3</cp:revision>
  <dcterms:created xsi:type="dcterms:W3CDTF">2025-06-05T13:14:00Z</dcterms:created>
  <dcterms:modified xsi:type="dcterms:W3CDTF">2025-06-11T07:35:00Z</dcterms:modified>
</cp:coreProperties>
</file>