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F7" w:rsidRPr="007504F7" w:rsidRDefault="007504F7" w:rsidP="0075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E3B"/>
          <w:sz w:val="40"/>
          <w:szCs w:val="40"/>
          <w:lang w:val="en-GB"/>
        </w:rPr>
      </w:pPr>
      <w:r w:rsidRPr="007504F7">
        <w:rPr>
          <w:rFonts w:ascii="Times New Roman" w:hAnsi="Times New Roman" w:cs="Times New Roman"/>
          <w:b/>
          <w:bCs/>
          <w:color w:val="006E3B"/>
          <w:sz w:val="40"/>
          <w:szCs w:val="40"/>
          <w:lang w:val="en-GB"/>
        </w:rPr>
        <w:t>SUMMARY</w:t>
      </w:r>
    </w:p>
    <w:p w:rsidR="007504F7" w:rsidRDefault="007504F7" w:rsidP="007504F7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</w:pPr>
    </w:p>
    <w:p w:rsidR="007C119C" w:rsidRPr="007C119C" w:rsidRDefault="007C119C" w:rsidP="007C1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</w:pPr>
      <w:bookmarkStart w:id="0" w:name="_GoBack"/>
      <w:r w:rsidRPr="007C119C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Report of project “The use of ashes in the forest roads”.</w:t>
      </w:r>
    </w:p>
    <w:bookmarkEnd w:id="0"/>
    <w:p w:rsidR="007504F7" w:rsidRDefault="007504F7" w:rsidP="007C1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</w:pP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Renewable energy sources (RES) accounted for a 36.8% (approx. 69PJ) share of the gross inland energy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consumption in Latvia, 2014 [1]. 82.1% of renewable energy was produced by different kind of wood fuel,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but 24.3% of it was produced in cogeneration plants [1]. It was estimated that few </w:t>
      </w:r>
      <w:proofErr w:type="spellStart"/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ktons</w:t>
      </w:r>
      <w:proofErr w:type="spellEnd"/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of wood fly ash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(WFA) was generated as a by-product by cogeneration of electricity and heat in 2014.</w:t>
      </w:r>
    </w:p>
    <w:p w:rsidR="007504F7" w:rsidRPr="007504F7" w:rsidRDefault="007504F7" w:rsidP="0075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</w:pP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Previous studies and experience abroad, which was </w:t>
      </w:r>
      <w:proofErr w:type="spellStart"/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discoverd</w:t>
      </w:r>
      <w:proofErr w:type="spellEnd"/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at the first stage of this research, confirmed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that most of the bio-fuel light (GCF) of ash are suitable for various construction sub-sectors, including road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construction. Therefore, in this study stage is proposed to stabilize the forest road gravel or dolomite surface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layer with 10%, 20% and 30% WFA of the dry weight of mineral material.</w:t>
      </w:r>
    </w:p>
    <w:p w:rsidR="007504F7" w:rsidRPr="007504F7" w:rsidRDefault="007504F7" w:rsidP="0075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</w:pP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Fractioned gravel and dolomite, and mixtures with 10%; 20%; 30% in the two periods sampled WFA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from Ltd. FORTUM Latvia BFBF plant in Jelgava (collected in July 2016 and January 2017) were tested at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the laboratory. Before making the mixture, WFA chemical properties were determined, as well as gravel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and crushed stone dolomite particle size composition. The optimum moisture content of the mixtures was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determined in standard Proctor test. </w:t>
      </w:r>
      <w:proofErr w:type="gramStart"/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pH</w:t>
      </w:r>
      <w:proofErr w:type="gramEnd"/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was determined for each mixture, checking whether the mixture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environment is suitable for long-lasting hydraulic reactions, which are directly linked to the strength and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stiffness increase. For non-stabilized and stabilized mixes with 10%; 20%; 30% WFA at the optimum moisture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content immediate bearing index (California Bearing value) was determined in California bearing capacity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(CBR) tests that estimate the short-term properties of the newly mixed and compacted sample. Stabilized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crushed stone samples were pushed out from Pro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ctor templates and stored at 20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°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C ±2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° C wrapped in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order to prevent the possible evaporation for 7 and 28 days. After 7 and 28 days hardening mixture of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10%; 20%; 30% WFA were tested in uniaxial compression test to determine the maximum compression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strength and uniaxial compressive deformation module. Compressive resistance is used as a benchmark to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assess whether the WFA stabilized crushed stone samples correspond to a specific strength category, but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the corresponding layer deformation module is used in the pavement design.</w:t>
      </w:r>
    </w:p>
    <w:p w:rsidR="008A3E44" w:rsidRPr="007504F7" w:rsidRDefault="007504F7" w:rsidP="00750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This project was initiated and developed in collaboration with JSC “Latvia’s State Forests” and LLC “FORTUM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Latvia”. WFA - gravel and dolomite optimal mixes laboratory tests were performed in this second phase of the</w:t>
      </w:r>
      <w:r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504F7">
        <w:rPr>
          <w:rFonts w:ascii="Times New Roman" w:eastAsia="MyriadPro-Light" w:hAnsi="Times New Roman" w:cs="Times New Roman"/>
          <w:color w:val="000000"/>
          <w:sz w:val="24"/>
          <w:szCs w:val="24"/>
          <w:lang w:val="en-GB"/>
        </w:rPr>
        <w:t>study to find instant (workability) properties as well as strength and stiffness after 7 and 28 days of hardening.</w:t>
      </w:r>
    </w:p>
    <w:sectPr w:rsidR="008A3E44" w:rsidRPr="00750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9"/>
    <w:rsid w:val="007504F7"/>
    <w:rsid w:val="007C119C"/>
    <w:rsid w:val="008A3E44"/>
    <w:rsid w:val="00AB2F12"/>
    <w:rsid w:val="00D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A2B812-1A4C-49CF-B14D-DF79598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Indulis Brauners</dc:creator>
  <cp:keywords/>
  <dc:description/>
  <cp:lastModifiedBy>Indulis Brauners</cp:lastModifiedBy>
  <cp:revision>3</cp:revision>
  <dcterms:created xsi:type="dcterms:W3CDTF">2017-04-11T09:19:00Z</dcterms:created>
  <dcterms:modified xsi:type="dcterms:W3CDTF">2017-04-11T10:43:00Z</dcterms:modified>
</cp:coreProperties>
</file>